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2A1F" w:rsidRPr="00E837E3" w:rsidRDefault="00342A1F" w:rsidP="00342A1F">
      <w:pPr>
        <w:rPr>
          <w:sz w:val="32"/>
          <w:szCs w:val="32"/>
        </w:rPr>
      </w:pPr>
      <w:r w:rsidRPr="00D1008E">
        <w:rPr>
          <w:szCs w:val="20"/>
        </w:rPr>
        <w:t xml:space="preserve">June </w:t>
      </w:r>
      <w:r w:rsidR="005B2A1B">
        <w:rPr>
          <w:szCs w:val="20"/>
        </w:rPr>
        <w:t>15</w:t>
      </w:r>
      <w:r w:rsidR="00081BF3">
        <w:rPr>
          <w:szCs w:val="20"/>
        </w:rPr>
        <w:t>,</w:t>
      </w:r>
      <w:r w:rsidRPr="00D1008E">
        <w:rPr>
          <w:szCs w:val="20"/>
        </w:rPr>
        <w:t xml:space="preserve"> 201</w:t>
      </w:r>
      <w:r w:rsidR="00F42700">
        <w:rPr>
          <w:szCs w:val="20"/>
        </w:rPr>
        <w:t>8</w:t>
      </w:r>
      <w:r w:rsidRPr="00D1008E">
        <w:rPr>
          <w:szCs w:val="20"/>
        </w:rPr>
        <w:tab/>
      </w:r>
      <w:r w:rsidR="005B2A1B">
        <w:rPr>
          <w:szCs w:val="20"/>
        </w:rPr>
        <w:tab/>
      </w:r>
      <w:r w:rsidR="005B2A1B">
        <w:rPr>
          <w:szCs w:val="20"/>
        </w:rPr>
        <w:tab/>
      </w:r>
      <w:r w:rsidR="005B2A1B">
        <w:rPr>
          <w:szCs w:val="20"/>
        </w:rPr>
        <w:tab/>
      </w:r>
      <w:r w:rsidR="005B2A1B">
        <w:rPr>
          <w:szCs w:val="20"/>
        </w:rPr>
        <w:tab/>
      </w:r>
      <w:r w:rsidR="005B2A1B">
        <w:rPr>
          <w:szCs w:val="20"/>
        </w:rPr>
        <w:tab/>
      </w:r>
      <w:r w:rsidR="005B2A1B" w:rsidRPr="00E837E3">
        <w:rPr>
          <w:sz w:val="32"/>
          <w:szCs w:val="32"/>
        </w:rPr>
        <w:t xml:space="preserve">D R A F T </w:t>
      </w:r>
      <w:r w:rsidRPr="00E837E3">
        <w:rPr>
          <w:sz w:val="32"/>
          <w:szCs w:val="32"/>
        </w:rPr>
        <w:tab/>
      </w:r>
      <w:r w:rsidRPr="00E837E3">
        <w:rPr>
          <w:sz w:val="32"/>
          <w:szCs w:val="32"/>
        </w:rPr>
        <w:tab/>
      </w:r>
      <w:r w:rsidRPr="00E837E3">
        <w:rPr>
          <w:sz w:val="32"/>
          <w:szCs w:val="32"/>
        </w:rPr>
        <w:tab/>
      </w:r>
      <w:r w:rsidRPr="00E837E3">
        <w:rPr>
          <w:sz w:val="32"/>
          <w:szCs w:val="32"/>
        </w:rPr>
        <w:tab/>
        <w:t xml:space="preserve"> </w:t>
      </w:r>
    </w:p>
    <w:p w:rsidR="00342A1F" w:rsidRPr="00E837E3" w:rsidRDefault="00342A1F" w:rsidP="00342A1F">
      <w:pPr>
        <w:autoSpaceDE w:val="0"/>
        <w:autoSpaceDN w:val="0"/>
        <w:adjustRightInd w:val="0"/>
        <w:rPr>
          <w:sz w:val="32"/>
          <w:szCs w:val="32"/>
        </w:rPr>
      </w:pPr>
    </w:p>
    <w:p w:rsidR="00B66F89" w:rsidRDefault="00574179" w:rsidP="00342A1F">
      <w:pPr>
        <w:rPr>
          <w:szCs w:val="20"/>
        </w:rPr>
      </w:pP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p>
    <w:p w:rsidR="00342A1F" w:rsidRPr="00D1008E" w:rsidRDefault="00342A1F" w:rsidP="001A1397">
      <w:pPr>
        <w:rPr>
          <w:szCs w:val="20"/>
        </w:rPr>
      </w:pPr>
      <w:r w:rsidRPr="00D1008E">
        <w:rPr>
          <w:szCs w:val="20"/>
        </w:rPr>
        <w:t>M</w:t>
      </w:r>
      <w:r w:rsidR="00937749" w:rsidRPr="00D1008E">
        <w:rPr>
          <w:szCs w:val="20"/>
        </w:rPr>
        <w:t>s. Seema Verma</w:t>
      </w:r>
    </w:p>
    <w:p w:rsidR="00342A1F" w:rsidRPr="00D1008E" w:rsidRDefault="00342A1F" w:rsidP="001A1397">
      <w:pPr>
        <w:rPr>
          <w:szCs w:val="20"/>
        </w:rPr>
      </w:pPr>
      <w:r w:rsidRPr="00D1008E">
        <w:rPr>
          <w:szCs w:val="20"/>
        </w:rPr>
        <w:t>Administrator</w:t>
      </w:r>
    </w:p>
    <w:p w:rsidR="00342A1F" w:rsidRPr="00D1008E" w:rsidRDefault="00342A1F" w:rsidP="001A1397">
      <w:pPr>
        <w:pStyle w:val="Default"/>
        <w:rPr>
          <w:rFonts w:ascii="Arial" w:hAnsi="Arial" w:cs="Arial"/>
          <w:sz w:val="20"/>
          <w:szCs w:val="20"/>
        </w:rPr>
      </w:pPr>
      <w:r w:rsidRPr="00D1008E">
        <w:rPr>
          <w:rFonts w:ascii="Arial" w:hAnsi="Arial" w:cs="Arial"/>
          <w:sz w:val="20"/>
          <w:szCs w:val="20"/>
        </w:rPr>
        <w:t xml:space="preserve">Centers for Medicare &amp; Medicaid Services </w:t>
      </w:r>
    </w:p>
    <w:p w:rsidR="00342A1F" w:rsidRPr="00D1008E" w:rsidRDefault="00342A1F" w:rsidP="001A1397">
      <w:pPr>
        <w:pStyle w:val="Default"/>
        <w:rPr>
          <w:rFonts w:ascii="Arial" w:hAnsi="Arial" w:cs="Arial"/>
          <w:sz w:val="20"/>
          <w:szCs w:val="20"/>
        </w:rPr>
      </w:pPr>
      <w:r w:rsidRPr="00D1008E">
        <w:rPr>
          <w:rFonts w:ascii="Arial" w:hAnsi="Arial" w:cs="Arial"/>
          <w:sz w:val="20"/>
          <w:szCs w:val="20"/>
        </w:rPr>
        <w:t>Department of Health and Human Services</w:t>
      </w:r>
    </w:p>
    <w:p w:rsidR="00342A1F" w:rsidRPr="00D1008E" w:rsidRDefault="00342A1F" w:rsidP="001A1397">
      <w:pPr>
        <w:autoSpaceDE w:val="0"/>
        <w:autoSpaceDN w:val="0"/>
        <w:adjustRightInd w:val="0"/>
        <w:rPr>
          <w:szCs w:val="20"/>
        </w:rPr>
      </w:pPr>
      <w:r w:rsidRPr="00D1008E">
        <w:rPr>
          <w:szCs w:val="20"/>
        </w:rPr>
        <w:t>Attention: CMS-16</w:t>
      </w:r>
      <w:r w:rsidR="00937749" w:rsidRPr="00D1008E">
        <w:rPr>
          <w:szCs w:val="20"/>
        </w:rPr>
        <w:t>77</w:t>
      </w:r>
      <w:r w:rsidRPr="00D1008E">
        <w:rPr>
          <w:szCs w:val="20"/>
        </w:rPr>
        <w:t>-P</w:t>
      </w:r>
    </w:p>
    <w:p w:rsidR="00342A1F" w:rsidRPr="00D1008E" w:rsidRDefault="00342A1F" w:rsidP="001A1397">
      <w:pPr>
        <w:autoSpaceDE w:val="0"/>
        <w:autoSpaceDN w:val="0"/>
        <w:adjustRightInd w:val="0"/>
        <w:rPr>
          <w:szCs w:val="20"/>
        </w:rPr>
      </w:pPr>
      <w:r w:rsidRPr="00D1008E">
        <w:rPr>
          <w:szCs w:val="20"/>
        </w:rPr>
        <w:t>P.O. Box 8013</w:t>
      </w:r>
    </w:p>
    <w:p w:rsidR="00342A1F" w:rsidRPr="00D1008E" w:rsidRDefault="00342A1F" w:rsidP="001A1397">
      <w:pPr>
        <w:autoSpaceDE w:val="0"/>
        <w:autoSpaceDN w:val="0"/>
        <w:adjustRightInd w:val="0"/>
        <w:rPr>
          <w:szCs w:val="20"/>
        </w:rPr>
      </w:pPr>
      <w:r w:rsidRPr="00D1008E">
        <w:rPr>
          <w:szCs w:val="20"/>
        </w:rPr>
        <w:t>Baltimore, MD 21244-8013</w:t>
      </w:r>
    </w:p>
    <w:p w:rsidR="00342A1F" w:rsidRPr="00D1008E" w:rsidRDefault="00342A1F" w:rsidP="001A1397">
      <w:pPr>
        <w:autoSpaceDE w:val="0"/>
        <w:autoSpaceDN w:val="0"/>
        <w:adjustRightInd w:val="0"/>
        <w:rPr>
          <w:szCs w:val="20"/>
        </w:rPr>
      </w:pPr>
    </w:p>
    <w:p w:rsidR="00342A1F" w:rsidRPr="00D1008E" w:rsidRDefault="00342A1F" w:rsidP="001A1397">
      <w:pPr>
        <w:autoSpaceDE w:val="0"/>
        <w:autoSpaceDN w:val="0"/>
        <w:adjustRightInd w:val="0"/>
        <w:rPr>
          <w:szCs w:val="20"/>
        </w:rPr>
      </w:pPr>
      <w:r w:rsidRPr="00D1008E">
        <w:rPr>
          <w:szCs w:val="20"/>
        </w:rPr>
        <w:t>File Code: CMS–</w:t>
      </w:r>
      <w:r w:rsidR="00014A72" w:rsidRPr="00014A72">
        <w:rPr>
          <w:szCs w:val="20"/>
        </w:rPr>
        <w:t>1694-P</w:t>
      </w:r>
    </w:p>
    <w:p w:rsidR="00342A1F" w:rsidRPr="00D1008E" w:rsidRDefault="00342A1F" w:rsidP="001A1397">
      <w:pPr>
        <w:autoSpaceDE w:val="0"/>
        <w:autoSpaceDN w:val="0"/>
        <w:adjustRightInd w:val="0"/>
        <w:rPr>
          <w:szCs w:val="20"/>
        </w:rPr>
      </w:pPr>
    </w:p>
    <w:p w:rsidR="00342A1F" w:rsidRPr="00D1008E" w:rsidRDefault="00342A1F" w:rsidP="001A1397">
      <w:pPr>
        <w:rPr>
          <w:b/>
          <w:bCs/>
          <w:i/>
          <w:iCs/>
          <w:szCs w:val="20"/>
        </w:rPr>
      </w:pPr>
      <w:r w:rsidRPr="00D1008E">
        <w:rPr>
          <w:b/>
          <w:bCs/>
          <w:i/>
          <w:iCs/>
          <w:szCs w:val="20"/>
        </w:rPr>
        <w:t>RE: CMS-16</w:t>
      </w:r>
      <w:r w:rsidR="00F42700">
        <w:rPr>
          <w:b/>
          <w:bCs/>
          <w:i/>
          <w:iCs/>
          <w:szCs w:val="20"/>
        </w:rPr>
        <w:t>94</w:t>
      </w:r>
      <w:r w:rsidRPr="00D1008E">
        <w:rPr>
          <w:b/>
          <w:bCs/>
          <w:i/>
          <w:iCs/>
          <w:szCs w:val="20"/>
        </w:rPr>
        <w:t xml:space="preserve">-P, </w:t>
      </w:r>
      <w:r w:rsidRPr="00D1008E">
        <w:rPr>
          <w:b/>
          <w:bCs/>
          <w:i/>
          <w:szCs w:val="20"/>
        </w:rPr>
        <w:t>Medicare Program; Proposed Changes to the Hospital Inpatient Prospective Payment Systems for Acute Care Hospitals and the Long-Term Care Hospital Prospective Payment System and Fiscal Year 20</w:t>
      </w:r>
      <w:r w:rsidR="00F748CE" w:rsidRPr="00D1008E">
        <w:rPr>
          <w:b/>
          <w:bCs/>
          <w:i/>
          <w:szCs w:val="20"/>
        </w:rPr>
        <w:t>1</w:t>
      </w:r>
      <w:r w:rsidR="00F42700">
        <w:rPr>
          <w:b/>
          <w:bCs/>
          <w:i/>
          <w:szCs w:val="20"/>
        </w:rPr>
        <w:t>9</w:t>
      </w:r>
      <w:r w:rsidRPr="00D1008E">
        <w:rPr>
          <w:b/>
          <w:bCs/>
          <w:i/>
          <w:szCs w:val="20"/>
        </w:rPr>
        <w:t xml:space="preserve"> Rates; </w:t>
      </w:r>
      <w:r w:rsidRPr="00D1008E">
        <w:rPr>
          <w:b/>
          <w:bCs/>
          <w:i/>
          <w:iCs/>
          <w:szCs w:val="20"/>
        </w:rPr>
        <w:t xml:space="preserve">Proposed Rule  </w:t>
      </w:r>
    </w:p>
    <w:p w:rsidR="00342A1F" w:rsidRPr="00D1008E" w:rsidRDefault="00342A1F" w:rsidP="001A1397">
      <w:pPr>
        <w:autoSpaceDE w:val="0"/>
        <w:autoSpaceDN w:val="0"/>
        <w:adjustRightInd w:val="0"/>
        <w:rPr>
          <w:szCs w:val="20"/>
        </w:rPr>
      </w:pPr>
    </w:p>
    <w:p w:rsidR="00342A1F" w:rsidRPr="00D1008E" w:rsidRDefault="00342A1F" w:rsidP="001A1397">
      <w:pPr>
        <w:autoSpaceDE w:val="0"/>
        <w:autoSpaceDN w:val="0"/>
        <w:adjustRightInd w:val="0"/>
        <w:rPr>
          <w:szCs w:val="20"/>
        </w:rPr>
      </w:pPr>
      <w:r w:rsidRPr="00D1008E">
        <w:rPr>
          <w:szCs w:val="20"/>
        </w:rPr>
        <w:t>Dear M</w:t>
      </w:r>
      <w:r w:rsidR="009E3774" w:rsidRPr="00D1008E">
        <w:rPr>
          <w:szCs w:val="20"/>
        </w:rPr>
        <w:t>s</w:t>
      </w:r>
      <w:r w:rsidRPr="00D1008E">
        <w:rPr>
          <w:szCs w:val="20"/>
        </w:rPr>
        <w:t xml:space="preserve">. </w:t>
      </w:r>
      <w:r w:rsidR="009E3774" w:rsidRPr="00D1008E">
        <w:rPr>
          <w:szCs w:val="20"/>
        </w:rPr>
        <w:t>Verma</w:t>
      </w:r>
      <w:r w:rsidRPr="00D1008E">
        <w:rPr>
          <w:szCs w:val="20"/>
        </w:rPr>
        <w:t>:</w:t>
      </w:r>
    </w:p>
    <w:p w:rsidR="00342A1F" w:rsidRPr="00D1008E" w:rsidRDefault="00342A1F" w:rsidP="001A1397">
      <w:pPr>
        <w:autoSpaceDE w:val="0"/>
        <w:autoSpaceDN w:val="0"/>
        <w:adjustRightInd w:val="0"/>
        <w:rPr>
          <w:szCs w:val="20"/>
        </w:rPr>
      </w:pPr>
    </w:p>
    <w:p w:rsidR="00342A1F" w:rsidRPr="00D1008E" w:rsidRDefault="00342A1F" w:rsidP="001A1397">
      <w:pPr>
        <w:rPr>
          <w:szCs w:val="20"/>
        </w:rPr>
      </w:pPr>
      <w:r w:rsidRPr="00D1008E">
        <w:rPr>
          <w:szCs w:val="20"/>
        </w:rPr>
        <w:t xml:space="preserve">On behalf of its member hospitals, the Michigan Health &amp; Hospital Association (MHA) appreciates this opportunity to provide comments to the Centers for Medicare &amp; Medicaid Services (CMS) regarding the proposed rule to update the hospital Inpatient Prospective Payment System (IPPS) for </w:t>
      </w:r>
      <w:r w:rsidR="005C23A7" w:rsidRPr="00D1008E">
        <w:rPr>
          <w:szCs w:val="20"/>
        </w:rPr>
        <w:t xml:space="preserve">fiscal year (FY) </w:t>
      </w:r>
      <w:r w:rsidRPr="00D1008E">
        <w:rPr>
          <w:szCs w:val="20"/>
        </w:rPr>
        <w:t>201</w:t>
      </w:r>
      <w:r w:rsidR="008835DB">
        <w:rPr>
          <w:szCs w:val="20"/>
        </w:rPr>
        <w:t>9</w:t>
      </w:r>
      <w:r w:rsidRPr="00D1008E">
        <w:rPr>
          <w:szCs w:val="20"/>
        </w:rPr>
        <w:t xml:space="preserve">. </w:t>
      </w:r>
      <w:r w:rsidR="000258C6" w:rsidRPr="000258C6">
        <w:rPr>
          <w:szCs w:val="20"/>
        </w:rPr>
        <w:t xml:space="preserve">The </w:t>
      </w:r>
      <w:r w:rsidRPr="000258C6">
        <w:rPr>
          <w:szCs w:val="20"/>
        </w:rPr>
        <w:t>proposed rule</w:t>
      </w:r>
      <w:r w:rsidR="00AB00B2" w:rsidRPr="000258C6">
        <w:rPr>
          <w:szCs w:val="20"/>
        </w:rPr>
        <w:t xml:space="preserve"> is estimated to</w:t>
      </w:r>
      <w:r w:rsidRPr="000258C6">
        <w:rPr>
          <w:szCs w:val="20"/>
        </w:rPr>
        <w:t xml:space="preserve"> provide a</w:t>
      </w:r>
      <w:r w:rsidR="000258C6" w:rsidRPr="000258C6">
        <w:rPr>
          <w:szCs w:val="20"/>
        </w:rPr>
        <w:t>n</w:t>
      </w:r>
      <w:r w:rsidRPr="000258C6">
        <w:rPr>
          <w:szCs w:val="20"/>
        </w:rPr>
        <w:t xml:space="preserve"> $</w:t>
      </w:r>
      <w:r w:rsidR="008835DB" w:rsidRPr="000258C6">
        <w:rPr>
          <w:szCs w:val="20"/>
        </w:rPr>
        <w:t>8</w:t>
      </w:r>
      <w:r w:rsidR="00F748CE" w:rsidRPr="000258C6">
        <w:rPr>
          <w:szCs w:val="20"/>
        </w:rPr>
        <w:t>4</w:t>
      </w:r>
      <w:r w:rsidRPr="000258C6">
        <w:rPr>
          <w:szCs w:val="20"/>
        </w:rPr>
        <w:t xml:space="preserve"> million</w:t>
      </w:r>
      <w:r w:rsidR="000258C6" w:rsidRPr="000258C6">
        <w:rPr>
          <w:szCs w:val="20"/>
        </w:rPr>
        <w:t>, or 1.9 percent</w:t>
      </w:r>
      <w:r w:rsidR="00014A72">
        <w:rPr>
          <w:szCs w:val="20"/>
        </w:rPr>
        <w:t>,</w:t>
      </w:r>
      <w:r w:rsidR="000258C6" w:rsidRPr="000258C6">
        <w:rPr>
          <w:szCs w:val="20"/>
        </w:rPr>
        <w:t xml:space="preserve"> increase to Michigan hospitals</w:t>
      </w:r>
      <w:r w:rsidRPr="000258C6">
        <w:rPr>
          <w:szCs w:val="20"/>
        </w:rPr>
        <w:t xml:space="preserve"> </w:t>
      </w:r>
      <w:r w:rsidRPr="00D1008E">
        <w:rPr>
          <w:szCs w:val="20"/>
        </w:rPr>
        <w:t xml:space="preserve">in </w:t>
      </w:r>
      <w:r w:rsidR="005C23A7" w:rsidRPr="00D1008E">
        <w:rPr>
          <w:szCs w:val="20"/>
        </w:rPr>
        <w:t xml:space="preserve">FY </w:t>
      </w:r>
      <w:r w:rsidRPr="00D1008E">
        <w:rPr>
          <w:szCs w:val="20"/>
        </w:rPr>
        <w:t>201</w:t>
      </w:r>
      <w:r w:rsidR="008835DB">
        <w:rPr>
          <w:szCs w:val="20"/>
        </w:rPr>
        <w:t>9</w:t>
      </w:r>
      <w:r w:rsidR="00BA6E97">
        <w:rPr>
          <w:szCs w:val="20"/>
        </w:rPr>
        <w:t xml:space="preserve">, which is </w:t>
      </w:r>
      <w:r w:rsidR="000258C6">
        <w:rPr>
          <w:szCs w:val="20"/>
        </w:rPr>
        <w:t xml:space="preserve">less than </w:t>
      </w:r>
      <w:r w:rsidR="002E29C2">
        <w:rPr>
          <w:szCs w:val="20"/>
        </w:rPr>
        <w:t xml:space="preserve">the projected </w:t>
      </w:r>
      <w:r w:rsidR="00F45936">
        <w:rPr>
          <w:szCs w:val="20"/>
        </w:rPr>
        <w:t xml:space="preserve">5.2 percent increase in </w:t>
      </w:r>
      <w:r w:rsidR="000258C6">
        <w:rPr>
          <w:szCs w:val="20"/>
        </w:rPr>
        <w:t>healthcare inflation</w:t>
      </w:r>
      <w:r w:rsidR="002E29C2">
        <w:rPr>
          <w:szCs w:val="20"/>
        </w:rPr>
        <w:t xml:space="preserve"> for 201</w:t>
      </w:r>
      <w:r w:rsidR="00BA6E97">
        <w:rPr>
          <w:szCs w:val="20"/>
        </w:rPr>
        <w:t xml:space="preserve">9. </w:t>
      </w:r>
      <w:r w:rsidR="00923040" w:rsidRPr="00D1008E">
        <w:rPr>
          <w:szCs w:val="20"/>
        </w:rPr>
        <w:t>The absence of adequate Medicare payment rates challenges</w:t>
      </w:r>
      <w:r w:rsidRPr="00D1008E">
        <w:rPr>
          <w:szCs w:val="20"/>
        </w:rPr>
        <w:t xml:space="preserve"> the financial viability of Michigan hospitals and their ability to provide care to </w:t>
      </w:r>
      <w:r w:rsidR="002F040E" w:rsidRPr="00D1008E">
        <w:rPr>
          <w:szCs w:val="20"/>
        </w:rPr>
        <w:t>Medicare beneficiaries and other patients</w:t>
      </w:r>
      <w:r w:rsidRPr="00D1008E">
        <w:rPr>
          <w:szCs w:val="20"/>
        </w:rPr>
        <w:t>. The latest Medicare margins data reflects that, on average,</w:t>
      </w:r>
      <w:r w:rsidR="00BA6E97">
        <w:rPr>
          <w:szCs w:val="20"/>
        </w:rPr>
        <w:t xml:space="preserve"> when all services are considered,</w:t>
      </w:r>
      <w:r w:rsidRPr="00D1008E">
        <w:rPr>
          <w:szCs w:val="20"/>
        </w:rPr>
        <w:t xml:space="preserve"> Medicare </w:t>
      </w:r>
      <w:r w:rsidR="00F45936">
        <w:rPr>
          <w:szCs w:val="20"/>
        </w:rPr>
        <w:t xml:space="preserve">fee-for-service (FFS) </w:t>
      </w:r>
      <w:r w:rsidRPr="00D1008E">
        <w:rPr>
          <w:szCs w:val="20"/>
        </w:rPr>
        <w:t xml:space="preserve">pays Michigan </w:t>
      </w:r>
      <w:r w:rsidR="009E3774" w:rsidRPr="00D1008E">
        <w:rPr>
          <w:szCs w:val="20"/>
        </w:rPr>
        <w:t xml:space="preserve">PPS </w:t>
      </w:r>
      <w:r w:rsidRPr="00D1008E">
        <w:rPr>
          <w:szCs w:val="20"/>
        </w:rPr>
        <w:t xml:space="preserve">hospitals approximately </w:t>
      </w:r>
      <w:r w:rsidR="00CF23C1">
        <w:rPr>
          <w:szCs w:val="20"/>
        </w:rPr>
        <w:t>3</w:t>
      </w:r>
      <w:r w:rsidRPr="00CF23C1">
        <w:rPr>
          <w:szCs w:val="20"/>
        </w:rPr>
        <w:t xml:space="preserve"> percent less</w:t>
      </w:r>
      <w:r w:rsidRPr="00D1008E">
        <w:rPr>
          <w:szCs w:val="20"/>
        </w:rPr>
        <w:t xml:space="preserve"> than the cost of providing care to Medicare</w:t>
      </w:r>
      <w:r w:rsidR="009E3774" w:rsidRPr="00D1008E">
        <w:rPr>
          <w:szCs w:val="20"/>
        </w:rPr>
        <w:t xml:space="preserve"> </w:t>
      </w:r>
      <w:r w:rsidRPr="00D1008E">
        <w:rPr>
          <w:szCs w:val="20"/>
        </w:rPr>
        <w:t>beneficiaries</w:t>
      </w:r>
      <w:r w:rsidR="00E464F3">
        <w:rPr>
          <w:szCs w:val="20"/>
        </w:rPr>
        <w:t xml:space="preserve"> resulting in a shortfall of $207 million.</w:t>
      </w:r>
    </w:p>
    <w:p w:rsidR="00342A1F" w:rsidRPr="00D1008E" w:rsidRDefault="00342A1F" w:rsidP="001A1397">
      <w:pPr>
        <w:ind w:firstLine="432"/>
        <w:rPr>
          <w:szCs w:val="20"/>
        </w:rPr>
      </w:pPr>
    </w:p>
    <w:p w:rsidR="00D1008E" w:rsidRPr="00D1008E" w:rsidRDefault="00342A1F" w:rsidP="001A1397">
      <w:pPr>
        <w:rPr>
          <w:szCs w:val="20"/>
        </w:rPr>
      </w:pPr>
      <w:r w:rsidRPr="00D1008E">
        <w:rPr>
          <w:szCs w:val="20"/>
        </w:rPr>
        <w:t>The MHA will submit a separate comment letter on the long-term care hospital (LTCH) proposed rule. Our comments regarding the IPPS proposed rule focus on:</w:t>
      </w:r>
    </w:p>
    <w:p w:rsidR="00D1008E" w:rsidRPr="00D1008E" w:rsidRDefault="00D1008E" w:rsidP="001A1397">
      <w:pPr>
        <w:rPr>
          <w:szCs w:val="20"/>
        </w:rPr>
      </w:pPr>
    </w:p>
    <w:p w:rsidR="00B5560B" w:rsidRPr="000258C6" w:rsidRDefault="00777602" w:rsidP="001A1397">
      <w:pPr>
        <w:pStyle w:val="ListParagraph"/>
        <w:numPr>
          <w:ilvl w:val="0"/>
          <w:numId w:val="5"/>
        </w:numPr>
        <w:contextualSpacing w:val="0"/>
        <w:rPr>
          <w:rFonts w:ascii="Arial" w:hAnsi="Arial" w:cs="Arial"/>
          <w:sz w:val="20"/>
          <w:szCs w:val="20"/>
        </w:rPr>
      </w:pPr>
      <w:r w:rsidRPr="000258C6">
        <w:rPr>
          <w:rFonts w:ascii="Arial" w:hAnsi="Arial" w:cs="Arial"/>
          <w:sz w:val="20"/>
          <w:szCs w:val="20"/>
        </w:rPr>
        <w:t xml:space="preserve">Request for </w:t>
      </w:r>
      <w:r w:rsidR="00014A72">
        <w:rPr>
          <w:rFonts w:ascii="Arial" w:hAnsi="Arial" w:cs="Arial"/>
          <w:sz w:val="20"/>
          <w:szCs w:val="20"/>
        </w:rPr>
        <w:t>i</w:t>
      </w:r>
      <w:r w:rsidRPr="000258C6">
        <w:rPr>
          <w:rFonts w:ascii="Arial" w:hAnsi="Arial" w:cs="Arial"/>
          <w:sz w:val="20"/>
          <w:szCs w:val="20"/>
        </w:rPr>
        <w:t xml:space="preserve">nformation on </w:t>
      </w:r>
      <w:r w:rsidR="00014A72">
        <w:rPr>
          <w:rFonts w:ascii="Arial" w:hAnsi="Arial" w:cs="Arial"/>
          <w:sz w:val="20"/>
          <w:szCs w:val="20"/>
        </w:rPr>
        <w:t>p</w:t>
      </w:r>
      <w:r w:rsidRPr="000258C6">
        <w:rPr>
          <w:rFonts w:ascii="Arial" w:hAnsi="Arial" w:cs="Arial"/>
          <w:sz w:val="20"/>
          <w:szCs w:val="20"/>
        </w:rPr>
        <w:t xml:space="preserve">ricing </w:t>
      </w:r>
      <w:r w:rsidR="00014A72">
        <w:rPr>
          <w:rFonts w:ascii="Arial" w:hAnsi="Arial" w:cs="Arial"/>
          <w:sz w:val="20"/>
          <w:szCs w:val="20"/>
        </w:rPr>
        <w:t>t</w:t>
      </w:r>
      <w:r w:rsidRPr="000258C6">
        <w:rPr>
          <w:rFonts w:ascii="Arial" w:hAnsi="Arial" w:cs="Arial"/>
          <w:sz w:val="20"/>
          <w:szCs w:val="20"/>
        </w:rPr>
        <w:t>ransparency</w:t>
      </w:r>
    </w:p>
    <w:p w:rsidR="007B38FA" w:rsidRPr="000258C6" w:rsidRDefault="007B38FA" w:rsidP="001A1397">
      <w:pPr>
        <w:pStyle w:val="ListParagraph"/>
        <w:numPr>
          <w:ilvl w:val="0"/>
          <w:numId w:val="5"/>
        </w:numPr>
        <w:contextualSpacing w:val="0"/>
        <w:rPr>
          <w:rFonts w:ascii="Arial" w:hAnsi="Arial" w:cs="Arial"/>
          <w:sz w:val="20"/>
          <w:szCs w:val="20"/>
        </w:rPr>
      </w:pPr>
      <w:r w:rsidRPr="000258C6">
        <w:rPr>
          <w:rFonts w:ascii="Arial" w:hAnsi="Arial" w:cs="Arial"/>
          <w:sz w:val="20"/>
          <w:szCs w:val="20"/>
        </w:rPr>
        <w:t>Payment for Chimeric Antigen Receptor (CAR) T-cell Therapy services</w:t>
      </w:r>
    </w:p>
    <w:p w:rsidR="004C7F04" w:rsidRPr="000258C6" w:rsidRDefault="004C7F04" w:rsidP="001A1397">
      <w:pPr>
        <w:pStyle w:val="ListParagraph"/>
        <w:numPr>
          <w:ilvl w:val="0"/>
          <w:numId w:val="5"/>
        </w:numPr>
        <w:contextualSpacing w:val="0"/>
        <w:rPr>
          <w:rFonts w:ascii="Arial" w:hAnsi="Arial" w:cs="Arial"/>
          <w:sz w:val="20"/>
          <w:szCs w:val="20"/>
        </w:rPr>
      </w:pPr>
      <w:r w:rsidRPr="000258C6">
        <w:rPr>
          <w:rFonts w:ascii="Arial" w:hAnsi="Arial" w:cs="Arial"/>
          <w:sz w:val="20"/>
          <w:szCs w:val="20"/>
        </w:rPr>
        <w:t>Restoration of ATRA-</w:t>
      </w:r>
      <w:r w:rsidR="00014A72">
        <w:rPr>
          <w:rFonts w:ascii="Arial" w:hAnsi="Arial" w:cs="Arial"/>
          <w:sz w:val="20"/>
          <w:szCs w:val="20"/>
        </w:rPr>
        <w:t>m</w:t>
      </w:r>
      <w:r w:rsidRPr="000258C6">
        <w:rPr>
          <w:rFonts w:ascii="Arial" w:hAnsi="Arial" w:cs="Arial"/>
          <w:sz w:val="20"/>
          <w:szCs w:val="20"/>
        </w:rPr>
        <w:t xml:space="preserve">andated </w:t>
      </w:r>
      <w:r w:rsidR="00014A72">
        <w:rPr>
          <w:rFonts w:ascii="Arial" w:hAnsi="Arial" w:cs="Arial"/>
          <w:sz w:val="20"/>
          <w:szCs w:val="20"/>
        </w:rPr>
        <w:t>d</w:t>
      </w:r>
      <w:r w:rsidRPr="000258C6">
        <w:rPr>
          <w:rFonts w:ascii="Arial" w:hAnsi="Arial" w:cs="Arial"/>
          <w:sz w:val="20"/>
          <w:szCs w:val="20"/>
        </w:rPr>
        <w:t xml:space="preserve">ocumentation and </w:t>
      </w:r>
      <w:r w:rsidR="00014A72">
        <w:rPr>
          <w:rFonts w:ascii="Arial" w:hAnsi="Arial" w:cs="Arial"/>
          <w:sz w:val="20"/>
          <w:szCs w:val="20"/>
        </w:rPr>
        <w:t>c</w:t>
      </w:r>
      <w:r w:rsidRPr="000258C6">
        <w:rPr>
          <w:rFonts w:ascii="Arial" w:hAnsi="Arial" w:cs="Arial"/>
          <w:sz w:val="20"/>
          <w:szCs w:val="20"/>
        </w:rPr>
        <w:t xml:space="preserve">oding </w:t>
      </w:r>
      <w:r w:rsidR="00014A72">
        <w:rPr>
          <w:rFonts w:ascii="Arial" w:hAnsi="Arial" w:cs="Arial"/>
          <w:sz w:val="20"/>
          <w:szCs w:val="20"/>
        </w:rPr>
        <w:t>o</w:t>
      </w:r>
      <w:r w:rsidRPr="000258C6">
        <w:rPr>
          <w:rFonts w:ascii="Arial" w:hAnsi="Arial" w:cs="Arial"/>
          <w:sz w:val="20"/>
          <w:szCs w:val="20"/>
        </w:rPr>
        <w:t>ffset</w:t>
      </w:r>
    </w:p>
    <w:p w:rsidR="007B5370" w:rsidRPr="000258C6" w:rsidRDefault="007B5370" w:rsidP="001A1397">
      <w:pPr>
        <w:pStyle w:val="ListParagraph"/>
        <w:numPr>
          <w:ilvl w:val="0"/>
          <w:numId w:val="5"/>
        </w:numPr>
        <w:contextualSpacing w:val="0"/>
        <w:rPr>
          <w:rFonts w:ascii="Arial" w:hAnsi="Arial" w:cs="Arial"/>
          <w:sz w:val="20"/>
          <w:szCs w:val="20"/>
        </w:rPr>
      </w:pPr>
      <w:r w:rsidRPr="000258C6">
        <w:rPr>
          <w:rFonts w:ascii="Arial" w:hAnsi="Arial" w:cs="Arial"/>
          <w:sz w:val="20"/>
          <w:szCs w:val="20"/>
        </w:rPr>
        <w:t xml:space="preserve">Reductions in MS-DRG </w:t>
      </w:r>
      <w:r w:rsidR="00014A72">
        <w:rPr>
          <w:rFonts w:ascii="Arial" w:hAnsi="Arial" w:cs="Arial"/>
          <w:sz w:val="20"/>
          <w:szCs w:val="20"/>
        </w:rPr>
        <w:t>r</w:t>
      </w:r>
      <w:r w:rsidR="00B66F89" w:rsidRPr="000258C6">
        <w:rPr>
          <w:rFonts w:ascii="Arial" w:hAnsi="Arial" w:cs="Arial"/>
          <w:sz w:val="20"/>
          <w:szCs w:val="20"/>
        </w:rPr>
        <w:t xml:space="preserve">elative </w:t>
      </w:r>
      <w:r w:rsidR="00014A72">
        <w:rPr>
          <w:rFonts w:ascii="Arial" w:hAnsi="Arial" w:cs="Arial"/>
          <w:sz w:val="20"/>
          <w:szCs w:val="20"/>
        </w:rPr>
        <w:t>w</w:t>
      </w:r>
      <w:r w:rsidR="00B66F89" w:rsidRPr="000258C6">
        <w:rPr>
          <w:rFonts w:ascii="Arial" w:hAnsi="Arial" w:cs="Arial"/>
          <w:sz w:val="20"/>
          <w:szCs w:val="20"/>
        </w:rPr>
        <w:t>eights</w:t>
      </w:r>
    </w:p>
    <w:p w:rsidR="00725CA0" w:rsidRPr="000258C6" w:rsidRDefault="00B5560B" w:rsidP="001A1397">
      <w:pPr>
        <w:pStyle w:val="ListParagraph"/>
        <w:numPr>
          <w:ilvl w:val="0"/>
          <w:numId w:val="5"/>
        </w:numPr>
        <w:contextualSpacing w:val="0"/>
        <w:rPr>
          <w:b/>
          <w:sz w:val="20"/>
          <w:szCs w:val="20"/>
          <w:u w:val="single"/>
        </w:rPr>
      </w:pPr>
      <w:r w:rsidRPr="000258C6">
        <w:rPr>
          <w:rFonts w:ascii="Arial" w:hAnsi="Arial" w:cs="Arial"/>
          <w:sz w:val="20"/>
          <w:szCs w:val="20"/>
        </w:rPr>
        <w:t>Correction to</w:t>
      </w:r>
      <w:r w:rsidR="004C7F04" w:rsidRPr="000258C6">
        <w:rPr>
          <w:rFonts w:ascii="Arial" w:hAnsi="Arial" w:cs="Arial"/>
          <w:sz w:val="20"/>
          <w:szCs w:val="20"/>
        </w:rPr>
        <w:t xml:space="preserve"> </w:t>
      </w:r>
      <w:r w:rsidR="00014A72">
        <w:rPr>
          <w:rFonts w:ascii="Arial" w:hAnsi="Arial" w:cs="Arial"/>
          <w:sz w:val="20"/>
          <w:szCs w:val="20"/>
        </w:rPr>
        <w:t>l</w:t>
      </w:r>
      <w:r w:rsidR="004C7F04" w:rsidRPr="000258C6">
        <w:rPr>
          <w:rFonts w:ascii="Arial" w:hAnsi="Arial" w:cs="Arial"/>
          <w:sz w:val="20"/>
          <w:szCs w:val="20"/>
        </w:rPr>
        <w:t xml:space="preserve">ow </w:t>
      </w:r>
      <w:r w:rsidR="00014A72">
        <w:rPr>
          <w:rFonts w:ascii="Arial" w:hAnsi="Arial" w:cs="Arial"/>
          <w:sz w:val="20"/>
          <w:szCs w:val="20"/>
        </w:rPr>
        <w:t>v</w:t>
      </w:r>
      <w:r w:rsidR="004C7F04" w:rsidRPr="000258C6">
        <w:rPr>
          <w:rFonts w:ascii="Arial" w:hAnsi="Arial" w:cs="Arial"/>
          <w:sz w:val="20"/>
          <w:szCs w:val="20"/>
        </w:rPr>
        <w:t xml:space="preserve">olume </w:t>
      </w:r>
      <w:r w:rsidR="00014A72">
        <w:rPr>
          <w:rFonts w:ascii="Arial" w:hAnsi="Arial" w:cs="Arial"/>
          <w:sz w:val="20"/>
          <w:szCs w:val="20"/>
        </w:rPr>
        <w:t>p</w:t>
      </w:r>
      <w:r w:rsidRPr="000258C6">
        <w:rPr>
          <w:rFonts w:ascii="Arial" w:hAnsi="Arial" w:cs="Arial"/>
          <w:sz w:val="20"/>
          <w:szCs w:val="20"/>
        </w:rPr>
        <w:t xml:space="preserve">ayment </w:t>
      </w:r>
      <w:r w:rsidR="00014A72">
        <w:rPr>
          <w:rFonts w:ascii="Arial" w:hAnsi="Arial" w:cs="Arial"/>
          <w:sz w:val="20"/>
          <w:szCs w:val="20"/>
        </w:rPr>
        <w:t>a</w:t>
      </w:r>
      <w:r w:rsidR="004C7F04" w:rsidRPr="000258C6">
        <w:rPr>
          <w:rFonts w:ascii="Arial" w:hAnsi="Arial" w:cs="Arial"/>
          <w:sz w:val="20"/>
          <w:szCs w:val="20"/>
        </w:rPr>
        <w:t xml:space="preserve">djustment </w:t>
      </w:r>
      <w:r w:rsidR="00014A72">
        <w:rPr>
          <w:rFonts w:ascii="Arial" w:hAnsi="Arial" w:cs="Arial"/>
          <w:sz w:val="20"/>
          <w:szCs w:val="20"/>
        </w:rPr>
        <w:t>f</w:t>
      </w:r>
      <w:r w:rsidRPr="000258C6">
        <w:rPr>
          <w:rFonts w:ascii="Arial" w:hAnsi="Arial" w:cs="Arial"/>
          <w:sz w:val="20"/>
          <w:szCs w:val="20"/>
        </w:rPr>
        <w:t>ormula</w:t>
      </w:r>
    </w:p>
    <w:p w:rsidR="00915C6B" w:rsidRPr="000258C6" w:rsidRDefault="00915C6B" w:rsidP="001A1397">
      <w:pPr>
        <w:pStyle w:val="ListParagraph"/>
        <w:numPr>
          <w:ilvl w:val="0"/>
          <w:numId w:val="5"/>
        </w:numPr>
        <w:contextualSpacing w:val="0"/>
        <w:rPr>
          <w:rFonts w:ascii="Arial" w:hAnsi="Arial" w:cs="Arial"/>
          <w:sz w:val="20"/>
          <w:szCs w:val="20"/>
        </w:rPr>
      </w:pPr>
      <w:r w:rsidRPr="000258C6">
        <w:rPr>
          <w:rFonts w:ascii="Arial" w:hAnsi="Arial" w:cs="Arial"/>
          <w:sz w:val="20"/>
          <w:szCs w:val="20"/>
        </w:rPr>
        <w:t xml:space="preserve">Worksheet S-10 </w:t>
      </w:r>
      <w:r w:rsidR="00014A72">
        <w:rPr>
          <w:rFonts w:ascii="Arial" w:hAnsi="Arial" w:cs="Arial"/>
          <w:sz w:val="20"/>
          <w:szCs w:val="20"/>
        </w:rPr>
        <w:t>d</w:t>
      </w:r>
      <w:r w:rsidRPr="000258C6">
        <w:rPr>
          <w:rFonts w:ascii="Arial" w:hAnsi="Arial" w:cs="Arial"/>
          <w:sz w:val="20"/>
          <w:szCs w:val="20"/>
        </w:rPr>
        <w:t xml:space="preserve">ata for </w:t>
      </w:r>
      <w:r w:rsidR="00014A72">
        <w:rPr>
          <w:rFonts w:ascii="Arial" w:hAnsi="Arial" w:cs="Arial"/>
          <w:sz w:val="20"/>
          <w:szCs w:val="20"/>
        </w:rPr>
        <w:t>u</w:t>
      </w:r>
      <w:r w:rsidRPr="000258C6">
        <w:rPr>
          <w:rFonts w:ascii="Arial" w:hAnsi="Arial" w:cs="Arial"/>
          <w:sz w:val="20"/>
          <w:szCs w:val="20"/>
        </w:rPr>
        <w:t xml:space="preserve">ncompensated </w:t>
      </w:r>
      <w:r w:rsidR="00014A72">
        <w:rPr>
          <w:rFonts w:ascii="Arial" w:hAnsi="Arial" w:cs="Arial"/>
          <w:sz w:val="20"/>
          <w:szCs w:val="20"/>
        </w:rPr>
        <w:t>c</w:t>
      </w:r>
      <w:r w:rsidRPr="000258C6">
        <w:rPr>
          <w:rFonts w:ascii="Arial" w:hAnsi="Arial" w:cs="Arial"/>
          <w:sz w:val="20"/>
          <w:szCs w:val="20"/>
        </w:rPr>
        <w:t xml:space="preserve">are </w:t>
      </w:r>
      <w:r w:rsidR="00014A72">
        <w:rPr>
          <w:rFonts w:ascii="Arial" w:hAnsi="Arial" w:cs="Arial"/>
          <w:sz w:val="20"/>
          <w:szCs w:val="20"/>
        </w:rPr>
        <w:t>p</w:t>
      </w:r>
      <w:r w:rsidRPr="000258C6">
        <w:rPr>
          <w:rFonts w:ascii="Arial" w:hAnsi="Arial" w:cs="Arial"/>
          <w:sz w:val="20"/>
          <w:szCs w:val="20"/>
        </w:rPr>
        <w:t xml:space="preserve">ayment </w:t>
      </w:r>
      <w:r w:rsidR="00014A72">
        <w:rPr>
          <w:rFonts w:ascii="Arial" w:hAnsi="Arial" w:cs="Arial"/>
          <w:sz w:val="20"/>
          <w:szCs w:val="20"/>
        </w:rPr>
        <w:t>a</w:t>
      </w:r>
      <w:r w:rsidRPr="000258C6">
        <w:rPr>
          <w:rFonts w:ascii="Arial" w:hAnsi="Arial" w:cs="Arial"/>
          <w:sz w:val="20"/>
          <w:szCs w:val="20"/>
        </w:rPr>
        <w:t>llocations</w:t>
      </w:r>
    </w:p>
    <w:p w:rsidR="00B833EB" w:rsidRPr="000258C6" w:rsidRDefault="00B833EB" w:rsidP="001A1397">
      <w:pPr>
        <w:pStyle w:val="ListParagraph"/>
        <w:numPr>
          <w:ilvl w:val="0"/>
          <w:numId w:val="5"/>
        </w:numPr>
        <w:contextualSpacing w:val="0"/>
        <w:rPr>
          <w:rFonts w:ascii="Arial" w:hAnsi="Arial" w:cs="Arial"/>
          <w:sz w:val="20"/>
          <w:szCs w:val="20"/>
        </w:rPr>
      </w:pPr>
      <w:r w:rsidRPr="000258C6">
        <w:rPr>
          <w:rFonts w:ascii="Arial" w:hAnsi="Arial" w:cs="Arial"/>
          <w:sz w:val="20"/>
          <w:szCs w:val="20"/>
        </w:rPr>
        <w:t xml:space="preserve">Request for </w:t>
      </w:r>
      <w:r w:rsidR="00014A72">
        <w:rPr>
          <w:rFonts w:ascii="Arial" w:hAnsi="Arial" w:cs="Arial"/>
          <w:sz w:val="20"/>
          <w:szCs w:val="20"/>
        </w:rPr>
        <w:t>i</w:t>
      </w:r>
      <w:r w:rsidRPr="000258C6">
        <w:rPr>
          <w:rFonts w:ascii="Arial" w:hAnsi="Arial" w:cs="Arial"/>
          <w:sz w:val="20"/>
          <w:szCs w:val="20"/>
        </w:rPr>
        <w:t xml:space="preserve">nformation on </w:t>
      </w:r>
      <w:r w:rsidR="00014A72">
        <w:rPr>
          <w:rFonts w:ascii="Arial" w:hAnsi="Arial" w:cs="Arial"/>
          <w:sz w:val="20"/>
          <w:szCs w:val="20"/>
        </w:rPr>
        <w:t>i</w:t>
      </w:r>
      <w:r w:rsidRPr="000258C6">
        <w:rPr>
          <w:rFonts w:ascii="Arial" w:hAnsi="Arial" w:cs="Arial"/>
          <w:sz w:val="20"/>
          <w:szCs w:val="20"/>
        </w:rPr>
        <w:t>nteroperability</w:t>
      </w:r>
    </w:p>
    <w:p w:rsidR="00915C6B" w:rsidRPr="000258C6" w:rsidRDefault="00915C6B" w:rsidP="001A1397">
      <w:pPr>
        <w:pStyle w:val="ListParagraph"/>
        <w:numPr>
          <w:ilvl w:val="0"/>
          <w:numId w:val="5"/>
        </w:numPr>
        <w:contextualSpacing w:val="0"/>
        <w:rPr>
          <w:rFonts w:ascii="Arial" w:hAnsi="Arial" w:cs="Arial"/>
          <w:sz w:val="20"/>
          <w:szCs w:val="20"/>
        </w:rPr>
      </w:pPr>
      <w:r w:rsidRPr="000258C6">
        <w:rPr>
          <w:rFonts w:ascii="Arial" w:hAnsi="Arial" w:cs="Arial"/>
          <w:sz w:val="20"/>
          <w:szCs w:val="20"/>
        </w:rPr>
        <w:t xml:space="preserve">Changes to the hospital inpatient quality reporting program </w:t>
      </w:r>
    </w:p>
    <w:p w:rsidR="00B833EB" w:rsidRPr="000258C6" w:rsidRDefault="00B833EB" w:rsidP="001A1397">
      <w:pPr>
        <w:pStyle w:val="ListParagraph"/>
        <w:numPr>
          <w:ilvl w:val="0"/>
          <w:numId w:val="5"/>
        </w:numPr>
        <w:contextualSpacing w:val="0"/>
        <w:rPr>
          <w:rFonts w:ascii="Arial" w:hAnsi="Arial" w:cs="Arial"/>
          <w:sz w:val="20"/>
          <w:szCs w:val="20"/>
        </w:rPr>
      </w:pPr>
      <w:r w:rsidRPr="000258C6">
        <w:rPr>
          <w:rFonts w:ascii="Arial" w:hAnsi="Arial" w:cs="Arial"/>
          <w:sz w:val="20"/>
          <w:szCs w:val="20"/>
        </w:rPr>
        <w:t>The use of ICD-9 and ICD-10 data for the hospital readmissions reduction program</w:t>
      </w:r>
    </w:p>
    <w:p w:rsidR="00B833EB" w:rsidRDefault="00B833EB" w:rsidP="001A1397">
      <w:pPr>
        <w:pStyle w:val="ListParagraph"/>
        <w:numPr>
          <w:ilvl w:val="0"/>
          <w:numId w:val="5"/>
        </w:numPr>
        <w:contextualSpacing w:val="0"/>
        <w:rPr>
          <w:rFonts w:ascii="Arial" w:hAnsi="Arial" w:cs="Arial"/>
          <w:sz w:val="20"/>
          <w:szCs w:val="20"/>
        </w:rPr>
      </w:pPr>
      <w:r w:rsidRPr="000258C6">
        <w:rPr>
          <w:rFonts w:ascii="Arial" w:hAnsi="Arial" w:cs="Arial"/>
          <w:sz w:val="20"/>
          <w:szCs w:val="20"/>
        </w:rPr>
        <w:t xml:space="preserve">The </w:t>
      </w:r>
      <w:r w:rsidR="00915C6B" w:rsidRPr="000258C6">
        <w:rPr>
          <w:rFonts w:ascii="Arial" w:hAnsi="Arial" w:cs="Arial"/>
          <w:sz w:val="20"/>
          <w:szCs w:val="20"/>
        </w:rPr>
        <w:t xml:space="preserve">use of the Patient Safety Indicator (PSI)-90 measure in the </w:t>
      </w:r>
      <w:r w:rsidRPr="000258C6">
        <w:rPr>
          <w:rFonts w:ascii="Arial" w:hAnsi="Arial" w:cs="Arial"/>
          <w:sz w:val="20"/>
          <w:szCs w:val="20"/>
        </w:rPr>
        <w:t xml:space="preserve">Hospital Acquired Conditions Reduction </w:t>
      </w:r>
      <w:r w:rsidR="00014A72">
        <w:rPr>
          <w:rFonts w:ascii="Arial" w:hAnsi="Arial" w:cs="Arial"/>
          <w:sz w:val="20"/>
          <w:szCs w:val="20"/>
        </w:rPr>
        <w:t>p</w:t>
      </w:r>
      <w:r w:rsidRPr="000258C6">
        <w:rPr>
          <w:rFonts w:ascii="Arial" w:hAnsi="Arial" w:cs="Arial"/>
          <w:sz w:val="20"/>
          <w:szCs w:val="20"/>
        </w:rPr>
        <w:t>rogram</w:t>
      </w:r>
    </w:p>
    <w:p w:rsidR="00F16152" w:rsidRPr="000258C6" w:rsidRDefault="00F16152" w:rsidP="001A1397">
      <w:pPr>
        <w:pStyle w:val="ListParagraph"/>
        <w:numPr>
          <w:ilvl w:val="0"/>
          <w:numId w:val="5"/>
        </w:numPr>
        <w:contextualSpacing w:val="0"/>
        <w:rPr>
          <w:rFonts w:ascii="Arial" w:hAnsi="Arial" w:cs="Arial"/>
          <w:sz w:val="20"/>
          <w:szCs w:val="20"/>
        </w:rPr>
      </w:pPr>
      <w:r>
        <w:rPr>
          <w:rFonts w:ascii="Arial" w:hAnsi="Arial" w:cs="Arial"/>
          <w:sz w:val="20"/>
          <w:szCs w:val="20"/>
        </w:rPr>
        <w:t xml:space="preserve">Medicare </w:t>
      </w:r>
      <w:r w:rsidR="00014A72">
        <w:rPr>
          <w:rFonts w:ascii="Arial" w:hAnsi="Arial" w:cs="Arial"/>
          <w:sz w:val="20"/>
          <w:szCs w:val="20"/>
        </w:rPr>
        <w:t>co</w:t>
      </w:r>
      <w:r>
        <w:rPr>
          <w:rFonts w:ascii="Arial" w:hAnsi="Arial" w:cs="Arial"/>
          <w:sz w:val="20"/>
          <w:szCs w:val="20"/>
        </w:rPr>
        <w:t xml:space="preserve">st </w:t>
      </w:r>
      <w:r w:rsidR="00014A72">
        <w:rPr>
          <w:rFonts w:ascii="Arial" w:hAnsi="Arial" w:cs="Arial"/>
          <w:sz w:val="20"/>
          <w:szCs w:val="20"/>
        </w:rPr>
        <w:t>r</w:t>
      </w:r>
      <w:r>
        <w:rPr>
          <w:rFonts w:ascii="Arial" w:hAnsi="Arial" w:cs="Arial"/>
          <w:sz w:val="20"/>
          <w:szCs w:val="20"/>
        </w:rPr>
        <w:t xml:space="preserve">eport </w:t>
      </w:r>
      <w:r w:rsidR="00014A72">
        <w:rPr>
          <w:rFonts w:ascii="Arial" w:hAnsi="Arial" w:cs="Arial"/>
          <w:sz w:val="20"/>
          <w:szCs w:val="20"/>
        </w:rPr>
        <w:t>s</w:t>
      </w:r>
      <w:r>
        <w:rPr>
          <w:rFonts w:ascii="Arial" w:hAnsi="Arial" w:cs="Arial"/>
          <w:sz w:val="20"/>
          <w:szCs w:val="20"/>
        </w:rPr>
        <w:t xml:space="preserve">ubmission </w:t>
      </w:r>
      <w:r w:rsidR="00014A72">
        <w:rPr>
          <w:rFonts w:ascii="Arial" w:hAnsi="Arial" w:cs="Arial"/>
          <w:sz w:val="20"/>
          <w:szCs w:val="20"/>
        </w:rPr>
        <w:t>r</w:t>
      </w:r>
      <w:r>
        <w:rPr>
          <w:rFonts w:ascii="Arial" w:hAnsi="Arial" w:cs="Arial"/>
          <w:sz w:val="20"/>
          <w:szCs w:val="20"/>
        </w:rPr>
        <w:t>equirements</w:t>
      </w:r>
    </w:p>
    <w:p w:rsidR="007E0B0C" w:rsidRDefault="007E0B0C" w:rsidP="007E0B0C">
      <w:pPr>
        <w:rPr>
          <w:b/>
          <w:color w:val="000000"/>
          <w:szCs w:val="20"/>
          <w:u w:val="single"/>
        </w:rPr>
      </w:pPr>
    </w:p>
    <w:p w:rsidR="00F45936" w:rsidRDefault="00F45936" w:rsidP="007E0B0C">
      <w:pPr>
        <w:rPr>
          <w:b/>
          <w:color w:val="000000"/>
          <w:szCs w:val="20"/>
          <w:u w:val="single"/>
        </w:rPr>
      </w:pPr>
    </w:p>
    <w:p w:rsidR="00F45936" w:rsidRPr="000258C6" w:rsidRDefault="00F45936" w:rsidP="007E0B0C">
      <w:pPr>
        <w:rPr>
          <w:b/>
          <w:color w:val="000000"/>
          <w:szCs w:val="20"/>
          <w:u w:val="single"/>
        </w:rPr>
      </w:pPr>
    </w:p>
    <w:p w:rsidR="007E0B0C" w:rsidRDefault="007E0B0C" w:rsidP="007E0B0C">
      <w:pPr>
        <w:rPr>
          <w:b/>
          <w:color w:val="000000"/>
          <w:szCs w:val="20"/>
          <w:u w:val="single"/>
        </w:rPr>
      </w:pPr>
      <w:r w:rsidRPr="00CE1EAE">
        <w:rPr>
          <w:b/>
          <w:color w:val="000000"/>
          <w:szCs w:val="20"/>
          <w:u w:val="single"/>
        </w:rPr>
        <w:lastRenderedPageBreak/>
        <w:t>TRANSPARENCY</w:t>
      </w:r>
    </w:p>
    <w:p w:rsidR="00723C99" w:rsidRPr="00723C99" w:rsidRDefault="00723C99" w:rsidP="007E0B0C">
      <w:pPr>
        <w:rPr>
          <w:color w:val="000000"/>
          <w:sz w:val="16"/>
          <w:szCs w:val="16"/>
          <w:u w:val="single"/>
        </w:rPr>
      </w:pPr>
      <w:r w:rsidRPr="00723C99">
        <w:rPr>
          <w:color w:val="000000"/>
          <w:sz w:val="16"/>
          <w:szCs w:val="16"/>
          <w:u w:val="single"/>
        </w:rPr>
        <w:t>(</w:t>
      </w:r>
      <w:r w:rsidRPr="00723C99">
        <w:rPr>
          <w:i/>
          <w:color w:val="000000"/>
          <w:sz w:val="16"/>
          <w:szCs w:val="16"/>
          <w:u w:val="single"/>
        </w:rPr>
        <w:t>Federal Register</w:t>
      </w:r>
      <w:r w:rsidRPr="00723C99">
        <w:rPr>
          <w:color w:val="000000"/>
          <w:sz w:val="16"/>
          <w:szCs w:val="16"/>
          <w:u w:val="single"/>
        </w:rPr>
        <w:t xml:space="preserve"> pages 20,548 – 20,549)</w:t>
      </w:r>
    </w:p>
    <w:p w:rsidR="007E0B0C" w:rsidRDefault="007E0B0C" w:rsidP="007E0B0C">
      <w:pPr>
        <w:rPr>
          <w:color w:val="000000"/>
          <w:szCs w:val="20"/>
        </w:rPr>
      </w:pPr>
    </w:p>
    <w:p w:rsidR="007E0B0C" w:rsidRDefault="007E0B0C" w:rsidP="007E0B0C">
      <w:pPr>
        <w:rPr>
          <w:szCs w:val="20"/>
        </w:rPr>
      </w:pPr>
      <w:r w:rsidRPr="00F679A2">
        <w:rPr>
          <w:szCs w:val="20"/>
        </w:rPr>
        <w:t>The CMS proposes to require</w:t>
      </w:r>
      <w:r>
        <w:rPr>
          <w:szCs w:val="20"/>
        </w:rPr>
        <w:t xml:space="preserve"> that</w:t>
      </w:r>
      <w:r w:rsidRPr="00F679A2">
        <w:rPr>
          <w:szCs w:val="20"/>
        </w:rPr>
        <w:t xml:space="preserve"> hospitals publish a list of their current standard charges via the internet in a machine-readable format</w:t>
      </w:r>
      <w:r>
        <w:rPr>
          <w:szCs w:val="20"/>
        </w:rPr>
        <w:t xml:space="preserve"> effective Jan. 1, 2019,</w:t>
      </w:r>
      <w:r w:rsidRPr="00F679A2">
        <w:rPr>
          <w:szCs w:val="20"/>
        </w:rPr>
        <w:t xml:space="preserve"> to be updated at least annually</w:t>
      </w:r>
      <w:r>
        <w:rPr>
          <w:szCs w:val="20"/>
        </w:rPr>
        <w:t xml:space="preserve"> (page 20549 of proposed rule)</w:t>
      </w:r>
      <w:r w:rsidRPr="00F679A2">
        <w:rPr>
          <w:szCs w:val="20"/>
        </w:rPr>
        <w:t xml:space="preserve">. This could be in the form of the chargemaster or another form of the hospital’s choice. </w:t>
      </w:r>
    </w:p>
    <w:p w:rsidR="007E0B0C" w:rsidRDefault="007E0B0C" w:rsidP="007E0B0C">
      <w:pPr>
        <w:rPr>
          <w:b/>
          <w:szCs w:val="20"/>
        </w:rPr>
      </w:pPr>
    </w:p>
    <w:p w:rsidR="007E0B0C" w:rsidRDefault="007E0B0C" w:rsidP="007E0B0C">
      <w:pPr>
        <w:rPr>
          <w:szCs w:val="20"/>
        </w:rPr>
      </w:pPr>
      <w:r>
        <w:rPr>
          <w:szCs w:val="20"/>
        </w:rPr>
        <w:t xml:space="preserve">The MHA strongly supports healthcare transparency inclusive of both price and quality. We are also </w:t>
      </w:r>
      <w:r w:rsidRPr="009A3D71">
        <w:rPr>
          <w:szCs w:val="20"/>
        </w:rPr>
        <w:t xml:space="preserve">supportive of the flexibility the CMS </w:t>
      </w:r>
      <w:r>
        <w:rPr>
          <w:szCs w:val="20"/>
        </w:rPr>
        <w:t>proposes to allow hospitals to post charges in a form their choice. It recognizes that hospitals may already be posting this type of information for their patients and allows them to maintain existing operations, avoiding administrative burden and cost. Charge transparency from hospitals is important for some patients while patient-specific copayments, coinsurance, and deductible balances should be available from Medicare, Medicare Advantage, Medicaid and commercial plans for many others.</w:t>
      </w:r>
    </w:p>
    <w:p w:rsidR="007E0B0C" w:rsidRDefault="007E0B0C" w:rsidP="007E0B0C">
      <w:pPr>
        <w:rPr>
          <w:szCs w:val="20"/>
        </w:rPr>
      </w:pPr>
    </w:p>
    <w:p w:rsidR="007E0B0C" w:rsidRPr="009A3D71" w:rsidRDefault="007E0B0C" w:rsidP="007E0B0C">
      <w:pPr>
        <w:rPr>
          <w:szCs w:val="20"/>
        </w:rPr>
      </w:pPr>
      <w:r w:rsidRPr="009A3D71">
        <w:rPr>
          <w:szCs w:val="20"/>
        </w:rPr>
        <w:t xml:space="preserve">The MHA </w:t>
      </w:r>
      <w:r>
        <w:rPr>
          <w:szCs w:val="20"/>
        </w:rPr>
        <w:t>comments on</w:t>
      </w:r>
      <w:r w:rsidRPr="009A3D71">
        <w:rPr>
          <w:szCs w:val="20"/>
        </w:rPr>
        <w:t xml:space="preserve"> price transparency </w:t>
      </w:r>
      <w:r>
        <w:rPr>
          <w:szCs w:val="20"/>
        </w:rPr>
        <w:t>follow. We believe the information outlined in these recommendations will improve healthcare transparency and provide patients with the information they desire</w:t>
      </w:r>
      <w:r w:rsidRPr="009A3D71">
        <w:rPr>
          <w:szCs w:val="20"/>
        </w:rPr>
        <w:t xml:space="preserve">: </w:t>
      </w:r>
    </w:p>
    <w:p w:rsidR="007E0B0C" w:rsidRPr="009A3D71" w:rsidRDefault="007E0B0C" w:rsidP="007E0B0C">
      <w:pPr>
        <w:pStyle w:val="ListParagraph"/>
        <w:numPr>
          <w:ilvl w:val="0"/>
          <w:numId w:val="16"/>
        </w:numPr>
        <w:spacing w:after="160" w:line="259" w:lineRule="auto"/>
        <w:rPr>
          <w:rFonts w:ascii="Arial" w:hAnsi="Arial" w:cs="Arial"/>
          <w:sz w:val="20"/>
          <w:szCs w:val="20"/>
        </w:rPr>
      </w:pPr>
      <w:r w:rsidRPr="007B35D2">
        <w:rPr>
          <w:rFonts w:ascii="Arial" w:hAnsi="Arial" w:cs="Arial"/>
          <w:b/>
          <w:sz w:val="20"/>
          <w:szCs w:val="20"/>
          <w:u w:val="single"/>
        </w:rPr>
        <w:t>CMS Request</w:t>
      </w:r>
      <w:r w:rsidRPr="007B35D2">
        <w:rPr>
          <w:rFonts w:ascii="Arial" w:hAnsi="Arial" w:cs="Arial"/>
          <w:sz w:val="20"/>
          <w:szCs w:val="20"/>
        </w:rPr>
        <w:t xml:space="preserve">: </w:t>
      </w:r>
      <w:r w:rsidRPr="009A3D71">
        <w:rPr>
          <w:rFonts w:ascii="Arial" w:hAnsi="Arial" w:cs="Arial"/>
          <w:sz w:val="20"/>
          <w:szCs w:val="20"/>
        </w:rPr>
        <w:t xml:space="preserve">Should “standard charges” be defined to mean: average or median rates for the items on the chargemaster; average or median rates for groups of services commonly billed together (such as for an MS-DRG), as determined by the hospital based on its billing patterns; or the average discount off the chargemaster amount across all payers, either for each item on the chargemaster or for groups of services commonly billed together? Should “standard charges” be defined and reported for both some measure of the average contracted rate and the chargemaster? Or is the best measure of a hospital’s standard charges its chargemaster? </w:t>
      </w:r>
    </w:p>
    <w:p w:rsidR="007E0B0C" w:rsidRDefault="007E0B0C" w:rsidP="007E0B0C">
      <w:pPr>
        <w:spacing w:after="160" w:line="259" w:lineRule="auto"/>
        <w:ind w:left="720"/>
        <w:rPr>
          <w:szCs w:val="20"/>
        </w:rPr>
      </w:pPr>
      <w:r w:rsidRPr="007B35D2">
        <w:rPr>
          <w:b/>
          <w:szCs w:val="20"/>
          <w:u w:val="single"/>
        </w:rPr>
        <w:t>MHA Response</w:t>
      </w:r>
      <w:r>
        <w:rPr>
          <w:szCs w:val="20"/>
        </w:rPr>
        <w:t xml:space="preserve">: Under federal uniform billing requirements, hospitals must charge every patient the same amount for the same service. This is accomplished using the chargemaster. The chargemaster should be the definition of standard charges. </w:t>
      </w:r>
      <w:r w:rsidRPr="00161312">
        <w:rPr>
          <w:szCs w:val="20"/>
        </w:rPr>
        <w:t>However, patients desire information on their out-of-pocket responsibility which is different by payer (Medicare, Medicaid,</w:t>
      </w:r>
      <w:r>
        <w:rPr>
          <w:szCs w:val="20"/>
        </w:rPr>
        <w:t xml:space="preserve"> and </w:t>
      </w:r>
      <w:r w:rsidRPr="00161312">
        <w:rPr>
          <w:szCs w:val="20"/>
        </w:rPr>
        <w:t>commercial)</w:t>
      </w:r>
      <w:r>
        <w:rPr>
          <w:szCs w:val="20"/>
        </w:rPr>
        <w:t>. T</w:t>
      </w:r>
      <w:r w:rsidRPr="00161312">
        <w:rPr>
          <w:szCs w:val="20"/>
        </w:rPr>
        <w:t xml:space="preserve">he </w:t>
      </w:r>
      <w:r>
        <w:rPr>
          <w:szCs w:val="20"/>
        </w:rPr>
        <w:t xml:space="preserve">MHA recommends the </w:t>
      </w:r>
      <w:r w:rsidRPr="00161312">
        <w:rPr>
          <w:szCs w:val="20"/>
        </w:rPr>
        <w:t xml:space="preserve">CMS grant hospitals flexibility to post </w:t>
      </w:r>
      <w:r>
        <w:rPr>
          <w:szCs w:val="20"/>
        </w:rPr>
        <w:t>the information</w:t>
      </w:r>
      <w:r w:rsidRPr="00161312">
        <w:rPr>
          <w:szCs w:val="20"/>
        </w:rPr>
        <w:t xml:space="preserve"> they believe is appropriate for their market.</w:t>
      </w:r>
    </w:p>
    <w:p w:rsidR="007E0B0C" w:rsidRPr="009A3D71" w:rsidRDefault="007E0B0C" w:rsidP="007E0B0C">
      <w:pPr>
        <w:pStyle w:val="ListParagraph"/>
        <w:numPr>
          <w:ilvl w:val="0"/>
          <w:numId w:val="16"/>
        </w:numPr>
        <w:spacing w:after="160" w:line="259" w:lineRule="auto"/>
        <w:rPr>
          <w:rFonts w:ascii="Arial" w:hAnsi="Arial" w:cs="Arial"/>
          <w:sz w:val="20"/>
          <w:szCs w:val="20"/>
        </w:rPr>
      </w:pPr>
      <w:r w:rsidRPr="007B35D2">
        <w:rPr>
          <w:rFonts w:ascii="Arial" w:hAnsi="Arial" w:cs="Arial"/>
          <w:b/>
          <w:sz w:val="20"/>
          <w:szCs w:val="20"/>
          <w:u w:val="single"/>
        </w:rPr>
        <w:t>CMS Request</w:t>
      </w:r>
      <w:r w:rsidRPr="007B35D2">
        <w:rPr>
          <w:rFonts w:ascii="Arial" w:hAnsi="Arial" w:cs="Arial"/>
          <w:sz w:val="20"/>
          <w:szCs w:val="20"/>
        </w:rPr>
        <w:t xml:space="preserve">: </w:t>
      </w:r>
      <w:r w:rsidRPr="009A3D71">
        <w:rPr>
          <w:rFonts w:ascii="Arial" w:hAnsi="Arial" w:cs="Arial"/>
          <w:sz w:val="20"/>
          <w:szCs w:val="20"/>
        </w:rPr>
        <w:t xml:space="preserve">What types of information would be most beneficial to patients, how can hospitals best enable patients to use charge and cost information in their decision-making, and how can CMS and providers help third parties create patient-friendly interfaces with these data? </w:t>
      </w:r>
    </w:p>
    <w:p w:rsidR="007E0B0C" w:rsidRDefault="007E0B0C" w:rsidP="007E0B0C">
      <w:pPr>
        <w:spacing w:after="160" w:line="259" w:lineRule="auto"/>
        <w:ind w:left="720"/>
        <w:rPr>
          <w:szCs w:val="20"/>
        </w:rPr>
      </w:pPr>
      <w:r w:rsidRPr="007B35D2">
        <w:rPr>
          <w:b/>
          <w:szCs w:val="20"/>
          <w:u w:val="single"/>
        </w:rPr>
        <w:t>MHA Response</w:t>
      </w:r>
      <w:r>
        <w:rPr>
          <w:szCs w:val="20"/>
        </w:rPr>
        <w:t xml:space="preserve">: </w:t>
      </w:r>
      <w:r w:rsidRPr="009A3D71">
        <w:rPr>
          <w:szCs w:val="20"/>
        </w:rPr>
        <w:t xml:space="preserve">The </w:t>
      </w:r>
      <w:r>
        <w:rPr>
          <w:szCs w:val="20"/>
        </w:rPr>
        <w:t xml:space="preserve">patient </w:t>
      </w:r>
      <w:r w:rsidRPr="009A3D71">
        <w:rPr>
          <w:szCs w:val="20"/>
        </w:rPr>
        <w:t xml:space="preserve">out-of-pocket </w:t>
      </w:r>
      <w:r>
        <w:rPr>
          <w:szCs w:val="20"/>
        </w:rPr>
        <w:t xml:space="preserve">amount (copayment, coinsurance and/or deductible) </w:t>
      </w:r>
      <w:r w:rsidRPr="009A3D71">
        <w:rPr>
          <w:szCs w:val="20"/>
        </w:rPr>
        <w:t xml:space="preserve">is desired by patients to </w:t>
      </w:r>
      <w:r>
        <w:rPr>
          <w:szCs w:val="20"/>
        </w:rPr>
        <w:t>make</w:t>
      </w:r>
      <w:r w:rsidRPr="009A3D71">
        <w:rPr>
          <w:szCs w:val="20"/>
        </w:rPr>
        <w:t xml:space="preserve"> informed healthcare purchasing decisions.</w:t>
      </w:r>
      <w:r>
        <w:rPr>
          <w:szCs w:val="20"/>
        </w:rPr>
        <w:t xml:space="preserve"> In addition, when choosing a provider, patients have several other factors to consider including facility quality and patient safety, physician privileges, and access to services. </w:t>
      </w:r>
      <w:r w:rsidR="00014A72">
        <w:rPr>
          <w:szCs w:val="20"/>
        </w:rPr>
        <w:t>We must collectively work to ensure patients</w:t>
      </w:r>
      <w:r>
        <w:rPr>
          <w:szCs w:val="20"/>
        </w:rPr>
        <w:t xml:space="preserve"> understand that an inpatient stay or outpatient hospital visit </w:t>
      </w:r>
      <w:r w:rsidRPr="00B02779">
        <w:rPr>
          <w:szCs w:val="20"/>
        </w:rPr>
        <w:t>may include services from multiple providers including a surgeon, hospital, and anesthesiologist</w:t>
      </w:r>
      <w:r>
        <w:rPr>
          <w:szCs w:val="20"/>
        </w:rPr>
        <w:t>, for example</w:t>
      </w:r>
      <w:r w:rsidRPr="00B02779">
        <w:rPr>
          <w:szCs w:val="20"/>
        </w:rPr>
        <w:t xml:space="preserve">, each with their own bill and </w:t>
      </w:r>
      <w:r>
        <w:rPr>
          <w:szCs w:val="20"/>
        </w:rPr>
        <w:t xml:space="preserve">potential </w:t>
      </w:r>
      <w:r w:rsidRPr="00B02779">
        <w:rPr>
          <w:szCs w:val="20"/>
        </w:rPr>
        <w:t xml:space="preserve">out-of-pocket </w:t>
      </w:r>
      <w:r>
        <w:rPr>
          <w:szCs w:val="20"/>
        </w:rPr>
        <w:t>payment requirements</w:t>
      </w:r>
      <w:r w:rsidRPr="00B02779">
        <w:rPr>
          <w:szCs w:val="20"/>
        </w:rPr>
        <w:t>.</w:t>
      </w:r>
      <w:r>
        <w:rPr>
          <w:szCs w:val="20"/>
        </w:rPr>
        <w:t xml:space="preserve"> Finally,</w:t>
      </w:r>
      <w:r w:rsidR="00014A72">
        <w:rPr>
          <w:szCs w:val="20"/>
        </w:rPr>
        <w:t xml:space="preserve"> we must work to ensure</w:t>
      </w:r>
      <w:r>
        <w:rPr>
          <w:szCs w:val="20"/>
        </w:rPr>
        <w:t xml:space="preserve"> p</w:t>
      </w:r>
      <w:r w:rsidRPr="00B02779">
        <w:rPr>
          <w:szCs w:val="20"/>
        </w:rPr>
        <w:t xml:space="preserve">atients understand that </w:t>
      </w:r>
      <w:r>
        <w:t xml:space="preserve">new clinical information may be present during treatment that </w:t>
      </w:r>
      <w:r w:rsidRPr="00B02779">
        <w:rPr>
          <w:szCs w:val="20"/>
        </w:rPr>
        <w:t>may impact the initial cost estimate.</w:t>
      </w:r>
      <w:r>
        <w:rPr>
          <w:szCs w:val="20"/>
        </w:rPr>
        <w:t xml:space="preserve"> Below, we identify the best source for this information depending on the patient’s insurance status.</w:t>
      </w:r>
    </w:p>
    <w:p w:rsidR="007E0B0C" w:rsidRDefault="007E0B0C" w:rsidP="007E0B0C">
      <w:pPr>
        <w:spacing w:after="160" w:line="259" w:lineRule="auto"/>
        <w:ind w:left="720"/>
        <w:rPr>
          <w:szCs w:val="20"/>
        </w:rPr>
      </w:pPr>
      <w:r w:rsidRPr="009A3D71">
        <w:rPr>
          <w:szCs w:val="20"/>
        </w:rPr>
        <w:t xml:space="preserve">Providers </w:t>
      </w:r>
      <w:r>
        <w:rPr>
          <w:szCs w:val="20"/>
        </w:rPr>
        <w:t xml:space="preserve">have a shared </w:t>
      </w:r>
      <w:r w:rsidRPr="009A3D71">
        <w:rPr>
          <w:szCs w:val="20"/>
        </w:rPr>
        <w:t>responsib</w:t>
      </w:r>
      <w:r>
        <w:rPr>
          <w:szCs w:val="20"/>
        </w:rPr>
        <w:t>ility with others</w:t>
      </w:r>
      <w:r w:rsidRPr="009A3D71">
        <w:rPr>
          <w:szCs w:val="20"/>
        </w:rPr>
        <w:t xml:space="preserve"> for improv</w:t>
      </w:r>
      <w:r>
        <w:rPr>
          <w:szCs w:val="20"/>
        </w:rPr>
        <w:t>ing</w:t>
      </w:r>
      <w:r w:rsidRPr="009A3D71">
        <w:rPr>
          <w:szCs w:val="20"/>
        </w:rPr>
        <w:t xml:space="preserve"> </w:t>
      </w:r>
      <w:r>
        <w:rPr>
          <w:szCs w:val="20"/>
        </w:rPr>
        <w:t>the service-specific out-of-pocket i</w:t>
      </w:r>
      <w:r w:rsidRPr="009A3D71">
        <w:rPr>
          <w:szCs w:val="20"/>
        </w:rPr>
        <w:t xml:space="preserve">nformation </w:t>
      </w:r>
      <w:r>
        <w:rPr>
          <w:szCs w:val="20"/>
        </w:rPr>
        <w:t xml:space="preserve">electronically </w:t>
      </w:r>
      <w:r w:rsidRPr="009A3D71">
        <w:rPr>
          <w:szCs w:val="20"/>
        </w:rPr>
        <w:t>available to patients</w:t>
      </w:r>
      <w:r>
        <w:rPr>
          <w:szCs w:val="20"/>
        </w:rPr>
        <w:t xml:space="preserve"> on a timely basis</w:t>
      </w:r>
      <w:r w:rsidRPr="009A3D71">
        <w:rPr>
          <w:szCs w:val="20"/>
        </w:rPr>
        <w:t>.</w:t>
      </w:r>
    </w:p>
    <w:p w:rsidR="007E0B0C" w:rsidRPr="008C7ADE" w:rsidRDefault="007E0B0C" w:rsidP="007E0B0C">
      <w:pPr>
        <w:pStyle w:val="ListParagraph"/>
        <w:numPr>
          <w:ilvl w:val="1"/>
          <w:numId w:val="16"/>
        </w:numPr>
        <w:spacing w:after="160" w:line="259" w:lineRule="auto"/>
        <w:rPr>
          <w:rFonts w:ascii="Arial" w:hAnsi="Arial" w:cs="Arial"/>
          <w:color w:val="000000"/>
          <w:sz w:val="20"/>
          <w:szCs w:val="20"/>
        </w:rPr>
      </w:pPr>
      <w:r w:rsidRPr="008C7ADE">
        <w:rPr>
          <w:rFonts w:ascii="Arial" w:hAnsi="Arial" w:cs="Arial"/>
          <w:color w:val="000000"/>
          <w:sz w:val="20"/>
          <w:szCs w:val="20"/>
        </w:rPr>
        <w:t>Hospitals and other providers should be the principal source of patient-specific out-of-pocket amounts</w:t>
      </w:r>
      <w:r>
        <w:rPr>
          <w:rFonts w:ascii="Arial" w:hAnsi="Arial" w:cs="Arial"/>
          <w:color w:val="000000"/>
          <w:sz w:val="20"/>
          <w:szCs w:val="20"/>
        </w:rPr>
        <w:t xml:space="preserve"> </w:t>
      </w:r>
      <w:r w:rsidRPr="008C7ADE">
        <w:rPr>
          <w:rFonts w:ascii="Arial" w:hAnsi="Arial" w:cs="Arial"/>
          <w:color w:val="000000"/>
          <w:sz w:val="20"/>
          <w:szCs w:val="20"/>
        </w:rPr>
        <w:t>for patients who are uninsured.</w:t>
      </w:r>
      <w:r>
        <w:rPr>
          <w:rFonts w:ascii="Arial" w:hAnsi="Arial" w:cs="Arial"/>
          <w:color w:val="000000"/>
          <w:sz w:val="20"/>
          <w:szCs w:val="20"/>
        </w:rPr>
        <w:t xml:space="preserve"> They are best positioned to determine if patients qualify for charity care or other discounts.</w:t>
      </w:r>
      <w:r w:rsidRPr="008C7ADE">
        <w:rPr>
          <w:rFonts w:ascii="Arial" w:hAnsi="Arial" w:cs="Arial"/>
          <w:color w:val="000000"/>
          <w:sz w:val="20"/>
          <w:szCs w:val="20"/>
        </w:rPr>
        <w:t xml:space="preserve"> </w:t>
      </w:r>
      <w:r>
        <w:rPr>
          <w:rFonts w:ascii="Arial" w:hAnsi="Arial" w:cs="Arial"/>
          <w:sz w:val="20"/>
          <w:szCs w:val="20"/>
        </w:rPr>
        <w:t>H</w:t>
      </w:r>
      <w:r w:rsidRPr="009A3D71">
        <w:rPr>
          <w:rFonts w:ascii="Arial" w:hAnsi="Arial" w:cs="Arial"/>
          <w:sz w:val="20"/>
          <w:szCs w:val="20"/>
        </w:rPr>
        <w:t xml:space="preserve">ospitals </w:t>
      </w:r>
      <w:r>
        <w:rPr>
          <w:rFonts w:ascii="Arial" w:hAnsi="Arial" w:cs="Arial"/>
          <w:sz w:val="20"/>
          <w:szCs w:val="20"/>
        </w:rPr>
        <w:t xml:space="preserve">can </w:t>
      </w:r>
      <w:r w:rsidRPr="009A3D71">
        <w:rPr>
          <w:rFonts w:ascii="Arial" w:hAnsi="Arial" w:cs="Arial"/>
          <w:sz w:val="20"/>
          <w:szCs w:val="20"/>
        </w:rPr>
        <w:t xml:space="preserve">best enable patients to </w:t>
      </w:r>
      <w:r w:rsidRPr="009A3D71">
        <w:rPr>
          <w:rFonts w:ascii="Arial" w:hAnsi="Arial" w:cs="Arial"/>
          <w:sz w:val="20"/>
          <w:szCs w:val="20"/>
        </w:rPr>
        <w:lastRenderedPageBreak/>
        <w:t>use charge information in their decision-making</w:t>
      </w:r>
      <w:r w:rsidRPr="008C7ADE">
        <w:rPr>
          <w:rFonts w:ascii="Arial" w:hAnsi="Arial" w:cs="Arial"/>
          <w:color w:val="000000"/>
          <w:sz w:val="20"/>
          <w:szCs w:val="20"/>
        </w:rPr>
        <w:t xml:space="preserve"> </w:t>
      </w:r>
      <w:r>
        <w:rPr>
          <w:rFonts w:ascii="Arial" w:hAnsi="Arial" w:cs="Arial"/>
          <w:color w:val="000000"/>
          <w:sz w:val="20"/>
          <w:szCs w:val="20"/>
        </w:rPr>
        <w:t xml:space="preserve">by posting charges </w:t>
      </w:r>
      <w:r w:rsidRPr="008C7ADE">
        <w:rPr>
          <w:rFonts w:ascii="Arial" w:hAnsi="Arial" w:cs="Arial"/>
          <w:color w:val="000000"/>
          <w:sz w:val="20"/>
          <w:szCs w:val="20"/>
        </w:rPr>
        <w:t xml:space="preserve">on their websites with the following notations: </w:t>
      </w:r>
    </w:p>
    <w:p w:rsidR="007E0B0C" w:rsidRPr="008C7ADE" w:rsidRDefault="007E0B0C" w:rsidP="007E0B0C">
      <w:pPr>
        <w:pStyle w:val="ListParagraph"/>
        <w:numPr>
          <w:ilvl w:val="2"/>
          <w:numId w:val="16"/>
        </w:numPr>
        <w:spacing w:after="160" w:line="259" w:lineRule="auto"/>
        <w:rPr>
          <w:rFonts w:ascii="Arial" w:hAnsi="Arial" w:cs="Arial"/>
          <w:color w:val="000000"/>
          <w:sz w:val="20"/>
          <w:szCs w:val="20"/>
        </w:rPr>
      </w:pPr>
      <w:r w:rsidRPr="008C7ADE">
        <w:rPr>
          <w:rFonts w:ascii="Arial" w:hAnsi="Arial" w:cs="Arial"/>
          <w:color w:val="000000"/>
          <w:sz w:val="20"/>
          <w:szCs w:val="20"/>
        </w:rPr>
        <w:t xml:space="preserve">Uninsured patients should contact the hospital to determine if they qualify for a discount from posted charges. </w:t>
      </w:r>
    </w:p>
    <w:p w:rsidR="007E0B0C" w:rsidRPr="00233F8D" w:rsidRDefault="007E0B0C" w:rsidP="007E0B0C">
      <w:pPr>
        <w:pStyle w:val="ListParagraph"/>
        <w:numPr>
          <w:ilvl w:val="2"/>
          <w:numId w:val="16"/>
        </w:numPr>
        <w:spacing w:after="160" w:line="259" w:lineRule="auto"/>
        <w:rPr>
          <w:rFonts w:ascii="Arial" w:hAnsi="Arial" w:cs="Arial"/>
          <w:color w:val="000000"/>
          <w:sz w:val="20"/>
          <w:szCs w:val="20"/>
        </w:rPr>
      </w:pPr>
      <w:r w:rsidRPr="008C7ADE">
        <w:rPr>
          <w:rFonts w:ascii="Arial" w:hAnsi="Arial" w:cs="Arial"/>
          <w:color w:val="000000"/>
          <w:sz w:val="20"/>
          <w:szCs w:val="20"/>
        </w:rPr>
        <w:t>Insured patients should contact their insurer to determine their out-of-pocket amount.</w:t>
      </w:r>
      <w:r>
        <w:rPr>
          <w:rFonts w:ascii="Arial" w:hAnsi="Arial" w:cs="Arial"/>
          <w:color w:val="000000"/>
          <w:sz w:val="20"/>
          <w:szCs w:val="20"/>
        </w:rPr>
        <w:t xml:space="preserve"> </w:t>
      </w:r>
    </w:p>
    <w:p w:rsidR="007E0B0C" w:rsidRPr="004740E8" w:rsidRDefault="007E0B0C" w:rsidP="007E0B0C">
      <w:pPr>
        <w:pStyle w:val="ListParagraph"/>
        <w:numPr>
          <w:ilvl w:val="1"/>
          <w:numId w:val="16"/>
        </w:numPr>
        <w:spacing w:after="160" w:line="259" w:lineRule="auto"/>
        <w:rPr>
          <w:rFonts w:ascii="Arial" w:hAnsi="Arial" w:cs="Arial"/>
          <w:sz w:val="20"/>
          <w:szCs w:val="20"/>
        </w:rPr>
      </w:pPr>
      <w:r w:rsidRPr="00233F8D">
        <w:rPr>
          <w:rFonts w:ascii="Arial" w:hAnsi="Arial" w:cs="Arial"/>
          <w:color w:val="000000"/>
          <w:sz w:val="20"/>
          <w:szCs w:val="20"/>
        </w:rPr>
        <w:t xml:space="preserve">Medicare, Medicare Advantage, Medicaid, Medicaid managed care, and commercial insurers should be the principal source of patient-specific out-of-pocket amounts for their members as they have the most accurate information on patient deductibles and remaining balances. </w:t>
      </w:r>
      <w:r>
        <w:rPr>
          <w:rFonts w:ascii="Arial" w:hAnsi="Arial" w:cs="Arial"/>
          <w:color w:val="000000"/>
          <w:sz w:val="20"/>
          <w:szCs w:val="20"/>
        </w:rPr>
        <w:t>While they may not have information for outstanding claims, it is still more complete than what individual providers have</w:t>
      </w:r>
      <w:r w:rsidRPr="00416097">
        <w:rPr>
          <w:rFonts w:ascii="Arial" w:hAnsi="Arial" w:cs="Arial"/>
          <w:sz w:val="20"/>
          <w:szCs w:val="20"/>
        </w:rPr>
        <w:t>.</w:t>
      </w:r>
      <w:r>
        <w:rPr>
          <w:rFonts w:ascii="Arial" w:hAnsi="Arial" w:cs="Arial"/>
          <w:sz w:val="20"/>
          <w:szCs w:val="20"/>
        </w:rPr>
        <w:t xml:space="preserve"> </w:t>
      </w:r>
      <w:r>
        <w:rPr>
          <w:rFonts w:ascii="Arial" w:hAnsi="Arial" w:cs="Arial"/>
          <w:color w:val="000000"/>
          <w:sz w:val="20"/>
          <w:szCs w:val="20"/>
        </w:rPr>
        <w:t>I</w:t>
      </w:r>
      <w:r w:rsidRPr="00416097">
        <w:rPr>
          <w:rFonts w:ascii="Arial" w:hAnsi="Arial" w:cs="Arial"/>
          <w:color w:val="000000"/>
          <w:sz w:val="20"/>
          <w:szCs w:val="20"/>
        </w:rPr>
        <w:t xml:space="preserve">nsurers also have provider payment rates to calculate the patient’s share of approved amount. </w:t>
      </w:r>
    </w:p>
    <w:p w:rsidR="007E0B0C" w:rsidRDefault="007E0B0C" w:rsidP="007E0B0C">
      <w:pPr>
        <w:pStyle w:val="ListParagraph"/>
        <w:spacing w:after="160" w:line="259" w:lineRule="auto"/>
        <w:ind w:left="1440"/>
        <w:rPr>
          <w:rFonts w:ascii="Arial" w:hAnsi="Arial" w:cs="Arial"/>
          <w:sz w:val="20"/>
          <w:szCs w:val="20"/>
        </w:rPr>
      </w:pPr>
    </w:p>
    <w:p w:rsidR="007E0B0C" w:rsidRDefault="007E0B0C" w:rsidP="007E0B0C">
      <w:pPr>
        <w:pStyle w:val="ListParagraph"/>
        <w:spacing w:after="160" w:line="259" w:lineRule="auto"/>
        <w:ind w:left="1440"/>
        <w:rPr>
          <w:rFonts w:ascii="Arial" w:hAnsi="Arial" w:cs="Arial"/>
          <w:sz w:val="20"/>
          <w:szCs w:val="20"/>
        </w:rPr>
      </w:pPr>
      <w:r w:rsidRPr="00233F8D">
        <w:rPr>
          <w:rFonts w:ascii="Arial" w:hAnsi="Arial" w:cs="Arial"/>
          <w:sz w:val="20"/>
          <w:szCs w:val="20"/>
        </w:rPr>
        <w:t xml:space="preserve">Michigan-based health plans have developed robust cost estimator tools that provide information based on member-specific </w:t>
      </w:r>
      <w:r>
        <w:rPr>
          <w:rFonts w:ascii="Arial" w:hAnsi="Arial" w:cs="Arial"/>
          <w:sz w:val="20"/>
          <w:szCs w:val="20"/>
        </w:rPr>
        <w:t xml:space="preserve">copayment, coinsurance and deductible balances </w:t>
      </w:r>
      <w:r w:rsidRPr="00233F8D">
        <w:rPr>
          <w:rFonts w:ascii="Arial" w:hAnsi="Arial" w:cs="Arial"/>
          <w:sz w:val="20"/>
          <w:szCs w:val="20"/>
        </w:rPr>
        <w:t xml:space="preserve">for various procedures and providers. </w:t>
      </w:r>
      <w:r>
        <w:rPr>
          <w:rFonts w:ascii="Arial" w:hAnsi="Arial" w:cs="Arial"/>
          <w:sz w:val="20"/>
          <w:szCs w:val="20"/>
        </w:rPr>
        <w:t xml:space="preserve">Many health plans nationally have created similar tools for their members. The MHA encourages the CMS to </w:t>
      </w:r>
      <w:r w:rsidR="00B43228">
        <w:rPr>
          <w:rFonts w:ascii="Arial" w:hAnsi="Arial" w:cs="Arial"/>
          <w:sz w:val="20"/>
          <w:szCs w:val="20"/>
        </w:rPr>
        <w:t>establish a workgroup of health plans and hospitals to determine how to most accurately and efficiently provide patient-specific out-of-pocket amounts to their patients</w:t>
      </w:r>
      <w:r>
        <w:rPr>
          <w:rFonts w:ascii="Arial" w:hAnsi="Arial" w:cs="Arial"/>
          <w:sz w:val="20"/>
          <w:szCs w:val="20"/>
        </w:rPr>
        <w:t>.</w:t>
      </w:r>
    </w:p>
    <w:p w:rsidR="007E0B0C" w:rsidRDefault="007E0B0C" w:rsidP="007E0B0C">
      <w:pPr>
        <w:pStyle w:val="ListParagraph"/>
        <w:spacing w:after="160" w:line="259" w:lineRule="auto"/>
        <w:ind w:left="1440"/>
        <w:rPr>
          <w:rFonts w:ascii="Arial" w:hAnsi="Arial" w:cs="Arial"/>
          <w:sz w:val="20"/>
          <w:szCs w:val="20"/>
        </w:rPr>
      </w:pPr>
    </w:p>
    <w:p w:rsidR="007E0B0C" w:rsidRPr="009A3D71" w:rsidRDefault="007E0B0C" w:rsidP="007E0B0C">
      <w:pPr>
        <w:pStyle w:val="ListParagraph"/>
        <w:numPr>
          <w:ilvl w:val="0"/>
          <w:numId w:val="16"/>
        </w:numPr>
        <w:spacing w:before="120" w:after="160" w:line="259" w:lineRule="auto"/>
        <w:rPr>
          <w:rFonts w:ascii="Arial" w:hAnsi="Arial" w:cs="Arial"/>
          <w:sz w:val="20"/>
          <w:szCs w:val="20"/>
        </w:rPr>
      </w:pPr>
      <w:r w:rsidRPr="007B35D2">
        <w:rPr>
          <w:rFonts w:ascii="Arial" w:hAnsi="Arial" w:cs="Arial"/>
          <w:b/>
          <w:sz w:val="20"/>
          <w:szCs w:val="20"/>
          <w:u w:val="single"/>
        </w:rPr>
        <w:t>CMS Request</w:t>
      </w:r>
      <w:r w:rsidRPr="007B35D2">
        <w:rPr>
          <w:rFonts w:ascii="Arial" w:hAnsi="Arial" w:cs="Arial"/>
          <w:sz w:val="20"/>
          <w:szCs w:val="20"/>
        </w:rPr>
        <w:t xml:space="preserve">: </w:t>
      </w:r>
      <w:r w:rsidRPr="009A3D71">
        <w:rPr>
          <w:rFonts w:ascii="Arial" w:hAnsi="Arial" w:cs="Arial"/>
          <w:sz w:val="20"/>
          <w:szCs w:val="20"/>
        </w:rPr>
        <w:t xml:space="preserve">Should health care providers be required to inform patients how much their out-of- pocket costs for a service will be before those patients are furnished that service?  What changes would be needed to support greater transparency around patient obligations for their out-of-pocket costs?  What can be done to better inform patients of these obligations?  Should health care providers play any role in helping to inform patients of what their out-of- pocket obligations will be? </w:t>
      </w:r>
    </w:p>
    <w:p w:rsidR="007E0B0C" w:rsidRDefault="007E0B0C" w:rsidP="007E0B0C">
      <w:pPr>
        <w:spacing w:after="160" w:line="259" w:lineRule="auto"/>
        <w:ind w:left="720"/>
        <w:rPr>
          <w:color w:val="000000"/>
          <w:szCs w:val="20"/>
        </w:rPr>
      </w:pPr>
      <w:r w:rsidRPr="007B35D2">
        <w:rPr>
          <w:b/>
          <w:szCs w:val="20"/>
          <w:u w:val="single"/>
        </w:rPr>
        <w:t>MHA Response</w:t>
      </w:r>
      <w:r>
        <w:rPr>
          <w:szCs w:val="20"/>
        </w:rPr>
        <w:t>: P</w:t>
      </w:r>
      <w:r w:rsidRPr="009A3D71">
        <w:rPr>
          <w:szCs w:val="20"/>
        </w:rPr>
        <w:t xml:space="preserve">roviders </w:t>
      </w:r>
      <w:r>
        <w:rPr>
          <w:szCs w:val="20"/>
        </w:rPr>
        <w:t xml:space="preserve">have a shared </w:t>
      </w:r>
      <w:r w:rsidRPr="009A3D71">
        <w:rPr>
          <w:szCs w:val="20"/>
        </w:rPr>
        <w:t>responsib</w:t>
      </w:r>
      <w:r>
        <w:rPr>
          <w:szCs w:val="20"/>
        </w:rPr>
        <w:t>ility with others</w:t>
      </w:r>
      <w:r w:rsidRPr="009A3D71">
        <w:rPr>
          <w:szCs w:val="20"/>
        </w:rPr>
        <w:t xml:space="preserve"> for </w:t>
      </w:r>
      <w:r>
        <w:rPr>
          <w:szCs w:val="20"/>
        </w:rPr>
        <w:t>providing out-of-pocket i</w:t>
      </w:r>
      <w:r w:rsidRPr="009A3D71">
        <w:rPr>
          <w:szCs w:val="20"/>
        </w:rPr>
        <w:t>nformation</w:t>
      </w:r>
      <w:r>
        <w:rPr>
          <w:szCs w:val="20"/>
        </w:rPr>
        <w:t xml:space="preserve"> to patients who desire this information prior to receiving non-emergent services</w:t>
      </w:r>
      <w:r w:rsidRPr="009A3D71">
        <w:rPr>
          <w:szCs w:val="20"/>
        </w:rPr>
        <w:t>.</w:t>
      </w:r>
      <w:r>
        <w:rPr>
          <w:szCs w:val="20"/>
        </w:rPr>
        <w:t xml:space="preserve"> For uninsured patients, providers should make available the out-of-pocket cost estimate. This includes working with patients to determine eligibility for financial discounts, providing information regarding other providers that may bill separately, and explaining that unforeseen circumstances may result in changes from the initial estimate. Providers should refer insured patients to their insurer </w:t>
      </w:r>
      <w:r w:rsidRPr="00233F8D">
        <w:rPr>
          <w:color w:val="000000"/>
          <w:szCs w:val="20"/>
        </w:rPr>
        <w:t xml:space="preserve">as they have the most accurate information on </w:t>
      </w:r>
      <w:r>
        <w:rPr>
          <w:color w:val="000000"/>
          <w:szCs w:val="20"/>
        </w:rPr>
        <w:t xml:space="preserve">deductible </w:t>
      </w:r>
      <w:r w:rsidRPr="00233F8D">
        <w:rPr>
          <w:color w:val="000000"/>
          <w:szCs w:val="20"/>
        </w:rPr>
        <w:t>balances</w:t>
      </w:r>
      <w:r>
        <w:rPr>
          <w:color w:val="000000"/>
          <w:szCs w:val="20"/>
        </w:rPr>
        <w:t xml:space="preserve"> and provider </w:t>
      </w:r>
      <w:r w:rsidRPr="00233F8D">
        <w:rPr>
          <w:color w:val="000000"/>
          <w:szCs w:val="20"/>
        </w:rPr>
        <w:t>payment rates to calculate the patient’s share of approved amount</w:t>
      </w:r>
      <w:r>
        <w:rPr>
          <w:color w:val="000000"/>
          <w:szCs w:val="20"/>
        </w:rPr>
        <w:t xml:space="preserve">. </w:t>
      </w:r>
    </w:p>
    <w:p w:rsidR="007E0B0C" w:rsidRPr="009A3D71" w:rsidRDefault="007E0B0C" w:rsidP="007E0B0C">
      <w:pPr>
        <w:spacing w:after="160" w:line="259" w:lineRule="auto"/>
        <w:ind w:left="720"/>
        <w:rPr>
          <w:szCs w:val="20"/>
        </w:rPr>
      </w:pPr>
      <w:r>
        <w:rPr>
          <w:szCs w:val="20"/>
        </w:rPr>
        <w:t xml:space="preserve">Through this proposed rule, the CMS is taking action to require that hospitals post standard charges to promote greater healthcare transparency. The MHA encourages the CMS to </w:t>
      </w:r>
      <w:r w:rsidR="00094F7A">
        <w:rPr>
          <w:szCs w:val="20"/>
        </w:rPr>
        <w:t xml:space="preserve">also </w:t>
      </w:r>
      <w:r w:rsidR="00F54865">
        <w:rPr>
          <w:szCs w:val="20"/>
        </w:rPr>
        <w:t>work</w:t>
      </w:r>
      <w:r w:rsidR="00B43228">
        <w:rPr>
          <w:szCs w:val="20"/>
        </w:rPr>
        <w:t xml:space="preserve"> </w:t>
      </w:r>
      <w:r w:rsidR="00F54865">
        <w:rPr>
          <w:szCs w:val="20"/>
        </w:rPr>
        <w:t xml:space="preserve">with </w:t>
      </w:r>
      <w:r w:rsidR="00094F7A">
        <w:rPr>
          <w:szCs w:val="20"/>
        </w:rPr>
        <w:t>insurers.</w:t>
      </w:r>
      <w:r>
        <w:rPr>
          <w:szCs w:val="20"/>
        </w:rPr>
        <w:t xml:space="preserve"> </w:t>
      </w:r>
    </w:p>
    <w:p w:rsidR="007E0B0C" w:rsidRPr="009A3D71" w:rsidRDefault="007E0B0C" w:rsidP="007E0B0C">
      <w:pPr>
        <w:pStyle w:val="ListParagraph"/>
        <w:numPr>
          <w:ilvl w:val="0"/>
          <w:numId w:val="16"/>
        </w:numPr>
        <w:spacing w:after="160" w:line="259" w:lineRule="auto"/>
        <w:rPr>
          <w:rFonts w:ascii="Arial" w:hAnsi="Arial" w:cs="Arial"/>
          <w:sz w:val="20"/>
          <w:szCs w:val="20"/>
        </w:rPr>
      </w:pPr>
      <w:r w:rsidRPr="007B35D2">
        <w:rPr>
          <w:rFonts w:ascii="Arial" w:hAnsi="Arial" w:cs="Arial"/>
          <w:b/>
          <w:sz w:val="20"/>
          <w:szCs w:val="20"/>
          <w:u w:val="single"/>
        </w:rPr>
        <w:t>CMS Request</w:t>
      </w:r>
      <w:r w:rsidRPr="007B35D2">
        <w:rPr>
          <w:rFonts w:ascii="Arial" w:hAnsi="Arial" w:cs="Arial"/>
          <w:sz w:val="20"/>
          <w:szCs w:val="20"/>
        </w:rPr>
        <w:t xml:space="preserve">: </w:t>
      </w:r>
      <w:r w:rsidRPr="009A3D71">
        <w:rPr>
          <w:rFonts w:ascii="Arial" w:hAnsi="Arial" w:cs="Arial"/>
          <w:sz w:val="20"/>
          <w:szCs w:val="20"/>
        </w:rPr>
        <w:t xml:space="preserve">Should we require health care providers to provide patients with information on what Medicare pays for a particular service performed by a health care provider? If CMS were to finalize a requirement that this information be made available to beneficiaries by health care providers, what changes would need to be made by health care providers?  What corresponding regulatory changes would be necessary? </w:t>
      </w:r>
    </w:p>
    <w:p w:rsidR="007E0B0C" w:rsidRDefault="007E0B0C" w:rsidP="007E0B0C">
      <w:pPr>
        <w:spacing w:after="160" w:line="259" w:lineRule="auto"/>
        <w:ind w:left="720"/>
        <w:rPr>
          <w:szCs w:val="20"/>
        </w:rPr>
      </w:pPr>
      <w:r w:rsidRPr="007B35D2">
        <w:rPr>
          <w:b/>
          <w:szCs w:val="20"/>
          <w:u w:val="single"/>
        </w:rPr>
        <w:t>MHA Response</w:t>
      </w:r>
      <w:r>
        <w:rPr>
          <w:szCs w:val="20"/>
        </w:rPr>
        <w:t xml:space="preserve">: The CMS should not require providers to make available the amount Medicare pays for a particular service. As previously mentioned, the </w:t>
      </w:r>
      <w:r w:rsidRPr="009A3D71">
        <w:rPr>
          <w:szCs w:val="20"/>
        </w:rPr>
        <w:t xml:space="preserve">out-of-pocket </w:t>
      </w:r>
      <w:r>
        <w:rPr>
          <w:szCs w:val="20"/>
        </w:rPr>
        <w:t xml:space="preserve">amount </w:t>
      </w:r>
      <w:r w:rsidRPr="009A3D71">
        <w:rPr>
          <w:szCs w:val="20"/>
        </w:rPr>
        <w:t xml:space="preserve">is </w:t>
      </w:r>
      <w:r>
        <w:rPr>
          <w:szCs w:val="20"/>
        </w:rPr>
        <w:t xml:space="preserve">what patients </w:t>
      </w:r>
      <w:r w:rsidRPr="009A3D71">
        <w:rPr>
          <w:szCs w:val="20"/>
        </w:rPr>
        <w:t>desire.</w:t>
      </w:r>
      <w:r>
        <w:rPr>
          <w:szCs w:val="20"/>
        </w:rPr>
        <w:t xml:space="preserve"> Adding a Medicare payment amount requirement would confuse many Medicare patients since it is not what they would pay for the service. </w:t>
      </w:r>
      <w:r w:rsidR="003A32D5">
        <w:rPr>
          <w:szCs w:val="20"/>
        </w:rPr>
        <w:t xml:space="preserve">In addition, in Michigan, as a result of our Medicaid expansion law, hospitals must already accept as payment in full 115 percent of Medicare rates from any uninsured individual whose income is at or below 250 percent of the federal poverty level. </w:t>
      </w:r>
      <w:r>
        <w:rPr>
          <w:szCs w:val="20"/>
        </w:rPr>
        <w:t xml:space="preserve">Instead, the MHA encourages the CMS to </w:t>
      </w:r>
      <w:r w:rsidR="00DB54DC">
        <w:rPr>
          <w:szCs w:val="20"/>
        </w:rPr>
        <w:t xml:space="preserve">work with </w:t>
      </w:r>
      <w:r w:rsidRPr="009A3D71">
        <w:rPr>
          <w:szCs w:val="20"/>
        </w:rPr>
        <w:t>Medicare fee-for-</w:t>
      </w:r>
      <w:r w:rsidRPr="009A3D71">
        <w:rPr>
          <w:szCs w:val="20"/>
        </w:rPr>
        <w:lastRenderedPageBreak/>
        <w:t xml:space="preserve">service and Medicare Advantage plans provide patients with pre-service, patient-specific </w:t>
      </w:r>
      <w:r>
        <w:rPr>
          <w:szCs w:val="20"/>
        </w:rPr>
        <w:t xml:space="preserve">out-of-pocket </w:t>
      </w:r>
      <w:r w:rsidRPr="009A3D71">
        <w:rPr>
          <w:szCs w:val="20"/>
        </w:rPr>
        <w:t xml:space="preserve">estimates. </w:t>
      </w:r>
      <w:bookmarkStart w:id="0" w:name="_GoBack"/>
      <w:bookmarkEnd w:id="0"/>
      <w:r>
        <w:rPr>
          <w:szCs w:val="20"/>
        </w:rPr>
        <w:t>No changes are required by providers if this mandate is not pursued.</w:t>
      </w:r>
    </w:p>
    <w:p w:rsidR="007E0B0C" w:rsidRPr="009A3D71" w:rsidRDefault="007E0B0C" w:rsidP="007E0B0C">
      <w:pPr>
        <w:spacing w:after="160" w:line="259" w:lineRule="auto"/>
        <w:rPr>
          <w:szCs w:val="20"/>
        </w:rPr>
      </w:pPr>
      <w:r>
        <w:rPr>
          <w:szCs w:val="20"/>
        </w:rPr>
        <w:t>R</w:t>
      </w:r>
      <w:r w:rsidRPr="009A3D71">
        <w:rPr>
          <w:szCs w:val="20"/>
        </w:rPr>
        <w:t xml:space="preserve">egulatory changes to increase healthcare transparency should result in outcomes that meet the needs of patients to make informed healthcare purchasing decisions while not adding unnecessary burden and cost to healthcare </w:t>
      </w:r>
      <w:r>
        <w:rPr>
          <w:szCs w:val="20"/>
        </w:rPr>
        <w:t>providers</w:t>
      </w:r>
      <w:r w:rsidRPr="009A3D71">
        <w:rPr>
          <w:szCs w:val="20"/>
        </w:rPr>
        <w:t>. Requiring organization</w:t>
      </w:r>
      <w:r>
        <w:rPr>
          <w:szCs w:val="20"/>
        </w:rPr>
        <w:t xml:space="preserve">s that do not have patient-specific </w:t>
      </w:r>
      <w:r w:rsidRPr="009A3D71">
        <w:rPr>
          <w:szCs w:val="20"/>
        </w:rPr>
        <w:t xml:space="preserve">information to </w:t>
      </w:r>
      <w:r>
        <w:rPr>
          <w:szCs w:val="20"/>
        </w:rPr>
        <w:t xml:space="preserve">provide </w:t>
      </w:r>
      <w:r w:rsidRPr="009A3D71">
        <w:rPr>
          <w:szCs w:val="20"/>
        </w:rPr>
        <w:t xml:space="preserve">patients </w:t>
      </w:r>
      <w:r>
        <w:rPr>
          <w:szCs w:val="20"/>
        </w:rPr>
        <w:t xml:space="preserve">with cost estimates </w:t>
      </w:r>
      <w:r w:rsidRPr="009A3D71">
        <w:rPr>
          <w:szCs w:val="20"/>
        </w:rPr>
        <w:t xml:space="preserve">will add unnecessary cost to the system </w:t>
      </w:r>
      <w:r>
        <w:rPr>
          <w:szCs w:val="20"/>
        </w:rPr>
        <w:t>while not meeting the needs of patients</w:t>
      </w:r>
      <w:r w:rsidRPr="009A3D71">
        <w:rPr>
          <w:szCs w:val="20"/>
        </w:rPr>
        <w:t xml:space="preserve">. </w:t>
      </w:r>
      <w:r>
        <w:rPr>
          <w:szCs w:val="20"/>
        </w:rPr>
        <w:t>In its comments, t</w:t>
      </w:r>
      <w:r w:rsidRPr="009A3D71">
        <w:rPr>
          <w:szCs w:val="20"/>
        </w:rPr>
        <w:t xml:space="preserve">he MHA has </w:t>
      </w:r>
      <w:r>
        <w:rPr>
          <w:szCs w:val="20"/>
        </w:rPr>
        <w:t>made several recommendations to improve healthcare transparency</w:t>
      </w:r>
      <w:r w:rsidRPr="009A3D71">
        <w:rPr>
          <w:szCs w:val="20"/>
        </w:rPr>
        <w:t xml:space="preserve">. </w:t>
      </w:r>
    </w:p>
    <w:p w:rsidR="007E0B0C" w:rsidRPr="009A3D71" w:rsidRDefault="003A32D5" w:rsidP="007E0B0C">
      <w:pPr>
        <w:spacing w:after="160" w:line="256" w:lineRule="auto"/>
        <w:rPr>
          <w:szCs w:val="20"/>
        </w:rPr>
      </w:pPr>
      <w:r>
        <w:rPr>
          <w:szCs w:val="20"/>
        </w:rPr>
        <w:t>We must continue to work collectively to educate patients about how to use</w:t>
      </w:r>
      <w:r w:rsidR="007E0B0C" w:rsidRPr="009A3D71">
        <w:rPr>
          <w:szCs w:val="20"/>
        </w:rPr>
        <w:t xml:space="preserve"> price and quality information together</w:t>
      </w:r>
      <w:r>
        <w:rPr>
          <w:szCs w:val="20"/>
        </w:rPr>
        <w:t xml:space="preserve"> to make better informed healthcare decisions</w:t>
      </w:r>
      <w:r w:rsidR="007E0B0C" w:rsidRPr="009A3D71">
        <w:rPr>
          <w:szCs w:val="20"/>
        </w:rPr>
        <w:t xml:space="preserve">. </w:t>
      </w:r>
      <w:r w:rsidR="007E0B0C">
        <w:rPr>
          <w:szCs w:val="20"/>
        </w:rPr>
        <w:t xml:space="preserve">The CMS is focusing its efforts in this proposal on price transparency. The MHA recommends the CMS also take action to promote the use of </w:t>
      </w:r>
      <w:r w:rsidR="007E0B0C" w:rsidRPr="009A3D71">
        <w:rPr>
          <w:szCs w:val="20"/>
        </w:rPr>
        <w:t xml:space="preserve">information about </w:t>
      </w:r>
      <w:r w:rsidR="007E0B0C">
        <w:rPr>
          <w:szCs w:val="20"/>
        </w:rPr>
        <w:t xml:space="preserve">healthcare quality and patient safety. The CMS provides this information to the public on its “provider compare” websites. This and similar sites such as the MHA’s transparency site, </w:t>
      </w:r>
      <w:hyperlink r:id="rId7" w:history="1">
        <w:r w:rsidR="007E0B0C" w:rsidRPr="00F45DFA">
          <w:rPr>
            <w:rStyle w:val="Hyperlink"/>
            <w:szCs w:val="20"/>
          </w:rPr>
          <w:t>www.verifymicare.org</w:t>
        </w:r>
      </w:hyperlink>
      <w:r w:rsidR="007E0B0C">
        <w:rPr>
          <w:szCs w:val="20"/>
        </w:rPr>
        <w:t>, should also be promoted.</w:t>
      </w:r>
    </w:p>
    <w:p w:rsidR="007E0B0C" w:rsidRPr="009A3D71" w:rsidRDefault="007E0B0C" w:rsidP="007E0B0C">
      <w:pPr>
        <w:spacing w:after="160" w:line="256" w:lineRule="auto"/>
        <w:rPr>
          <w:szCs w:val="20"/>
        </w:rPr>
      </w:pPr>
      <w:r>
        <w:rPr>
          <w:szCs w:val="20"/>
        </w:rPr>
        <w:t>Finally, p</w:t>
      </w:r>
      <w:r w:rsidRPr="009A3D71">
        <w:rPr>
          <w:szCs w:val="20"/>
        </w:rPr>
        <w:t>atients should also have information about total cost of care across the full continuum, professional, acute, and post-acute, to allow for a greater understanding of healthcare cost beyond an individual service.</w:t>
      </w:r>
    </w:p>
    <w:p w:rsidR="00DB7FE4" w:rsidRDefault="007B38FA" w:rsidP="001A1397">
      <w:pPr>
        <w:rPr>
          <w:b/>
          <w:szCs w:val="20"/>
          <w:u w:val="single"/>
        </w:rPr>
      </w:pPr>
      <w:r>
        <w:rPr>
          <w:b/>
          <w:szCs w:val="20"/>
          <w:u w:val="single"/>
        </w:rPr>
        <w:t>Chimeric Antigen Receptor (CAR) T-Cell Therapy</w:t>
      </w:r>
    </w:p>
    <w:p w:rsidR="007B38FA" w:rsidRPr="00DB7FE4" w:rsidRDefault="00DB7FE4" w:rsidP="001A1397">
      <w:pPr>
        <w:rPr>
          <w:szCs w:val="20"/>
        </w:rPr>
      </w:pPr>
      <w:r w:rsidRPr="00DB7FE4">
        <w:rPr>
          <w:szCs w:val="20"/>
        </w:rPr>
        <w:t>(</w:t>
      </w:r>
      <w:r w:rsidRPr="00DB7FE4">
        <w:rPr>
          <w:i/>
          <w:sz w:val="16"/>
          <w:szCs w:val="16"/>
        </w:rPr>
        <w:t>Federal Register</w:t>
      </w:r>
      <w:r w:rsidRPr="00DB7FE4">
        <w:rPr>
          <w:sz w:val="16"/>
          <w:szCs w:val="16"/>
        </w:rPr>
        <w:t xml:space="preserve"> pages 20,377-20,381)</w:t>
      </w:r>
    </w:p>
    <w:p w:rsidR="007B38FA" w:rsidRDefault="007B38FA" w:rsidP="001A1397">
      <w:pPr>
        <w:rPr>
          <w:b/>
          <w:szCs w:val="20"/>
          <w:u w:val="single"/>
        </w:rPr>
      </w:pPr>
    </w:p>
    <w:p w:rsidR="0057182B" w:rsidRPr="00DB7FE4" w:rsidRDefault="007B38FA" w:rsidP="001A1397">
      <w:pPr>
        <w:rPr>
          <w:szCs w:val="20"/>
        </w:rPr>
      </w:pPr>
      <w:r w:rsidRPr="00DB7FE4">
        <w:rPr>
          <w:szCs w:val="20"/>
        </w:rPr>
        <w:t xml:space="preserve">CAR T-cell therapy is a cell-based gene therapy in which a patient’s own T-cells are genetically engineered in a lab and administered to the patient by infusion to assist in treatment to attack certain cancerous cells. </w:t>
      </w:r>
      <w:r w:rsidR="0057182B" w:rsidRPr="00DB7FE4">
        <w:rPr>
          <w:szCs w:val="20"/>
        </w:rPr>
        <w:t xml:space="preserve">Procedures involving the CAR T-cells therapy drugs are currently identified with ICD-10-PCD procedure codes XW033C3 and XW043C3. Two CAR T-cell therapy drugs, KYMRIAH and YESCARTA, received </w:t>
      </w:r>
      <w:r w:rsidR="00DB0975" w:rsidRPr="00DB7FE4">
        <w:rPr>
          <w:szCs w:val="20"/>
        </w:rPr>
        <w:t xml:space="preserve">approval by the Food and Drug Administration </w:t>
      </w:r>
      <w:r w:rsidR="0057182B" w:rsidRPr="00DB7FE4">
        <w:rPr>
          <w:szCs w:val="20"/>
        </w:rPr>
        <w:t>in 2017, with both manufacturers submitting applications for new technology add-on payments for FY 2019.</w:t>
      </w:r>
    </w:p>
    <w:p w:rsidR="0057182B" w:rsidRPr="00DB7FE4" w:rsidRDefault="0057182B" w:rsidP="001A1397">
      <w:pPr>
        <w:rPr>
          <w:szCs w:val="20"/>
        </w:rPr>
      </w:pPr>
    </w:p>
    <w:p w:rsidR="003C2833" w:rsidRPr="00DB7FE4" w:rsidRDefault="0057182B" w:rsidP="001A1397">
      <w:pPr>
        <w:rPr>
          <w:szCs w:val="20"/>
        </w:rPr>
      </w:pPr>
      <w:r w:rsidRPr="00DB7FE4">
        <w:rPr>
          <w:szCs w:val="20"/>
        </w:rPr>
        <w:t xml:space="preserve">After examination, the CMS clinical advisors believe that patients receiving CAR T-cell therapy services would have similar clinical characteristics and comorbidities to patients receiving treatment for other hematopoietic carcinomas treated with autologous bone marrow transplant. </w:t>
      </w:r>
    </w:p>
    <w:p w:rsidR="00DB0975" w:rsidRPr="00DB7FE4" w:rsidRDefault="003C2833" w:rsidP="001A1397">
      <w:pPr>
        <w:rPr>
          <w:szCs w:val="20"/>
        </w:rPr>
      </w:pPr>
      <w:r w:rsidRPr="00DB7FE4">
        <w:rPr>
          <w:szCs w:val="20"/>
        </w:rPr>
        <w:t>I</w:t>
      </w:r>
      <w:r w:rsidR="00DB0975" w:rsidRPr="00DB7FE4">
        <w:rPr>
          <w:szCs w:val="20"/>
        </w:rPr>
        <w:t>n the proposed rule, the CMS</w:t>
      </w:r>
      <w:r w:rsidRPr="00DB7FE4">
        <w:rPr>
          <w:szCs w:val="20"/>
        </w:rPr>
        <w:t>:</w:t>
      </w:r>
    </w:p>
    <w:p w:rsidR="00DB0975" w:rsidRPr="00DB7FE4" w:rsidRDefault="00DB0975" w:rsidP="001A1397">
      <w:pPr>
        <w:ind w:left="720"/>
        <w:rPr>
          <w:szCs w:val="20"/>
        </w:rPr>
      </w:pPr>
    </w:p>
    <w:p w:rsidR="00F3099A" w:rsidRPr="00DB7FE4" w:rsidRDefault="0057182B" w:rsidP="003C2833">
      <w:pPr>
        <w:pStyle w:val="ListParagraph"/>
        <w:numPr>
          <w:ilvl w:val="0"/>
          <w:numId w:val="15"/>
        </w:numPr>
        <w:rPr>
          <w:rFonts w:ascii="Arial" w:hAnsi="Arial" w:cs="Arial"/>
          <w:sz w:val="20"/>
          <w:szCs w:val="20"/>
        </w:rPr>
      </w:pPr>
      <w:r w:rsidRPr="00DB7FE4">
        <w:rPr>
          <w:rFonts w:ascii="Arial" w:hAnsi="Arial" w:cs="Arial"/>
          <w:sz w:val="20"/>
          <w:szCs w:val="20"/>
        </w:rPr>
        <w:t xml:space="preserve">proposes to assign CAR-T therapy procedures to Medicare Severity Diagnosis Related Group (MS-DRG) 016, </w:t>
      </w:r>
      <w:r w:rsidR="00F3099A" w:rsidRPr="00DB7FE4">
        <w:rPr>
          <w:rFonts w:ascii="Arial" w:hAnsi="Arial" w:cs="Arial"/>
          <w:sz w:val="20"/>
          <w:szCs w:val="20"/>
        </w:rPr>
        <w:t>“</w:t>
      </w:r>
      <w:r w:rsidRPr="00DB7FE4">
        <w:rPr>
          <w:rFonts w:ascii="Arial" w:hAnsi="Arial" w:cs="Arial"/>
          <w:sz w:val="20"/>
          <w:szCs w:val="20"/>
        </w:rPr>
        <w:t xml:space="preserve">Autologous Bone Marrow Transplant with CC/MCC or T-cell </w:t>
      </w:r>
      <w:r w:rsidR="00142823" w:rsidRPr="00DB7FE4">
        <w:rPr>
          <w:rFonts w:ascii="Arial" w:hAnsi="Arial" w:cs="Arial"/>
          <w:sz w:val="20"/>
          <w:szCs w:val="20"/>
        </w:rPr>
        <w:t>I</w:t>
      </w:r>
      <w:r w:rsidRPr="00DB7FE4">
        <w:rPr>
          <w:rFonts w:ascii="Arial" w:hAnsi="Arial" w:cs="Arial"/>
          <w:sz w:val="20"/>
          <w:szCs w:val="20"/>
        </w:rPr>
        <w:t>mmunotherapy</w:t>
      </w:r>
      <w:r w:rsidR="00142823" w:rsidRPr="00DB7FE4">
        <w:rPr>
          <w:rFonts w:ascii="Arial" w:hAnsi="Arial" w:cs="Arial"/>
          <w:sz w:val="20"/>
          <w:szCs w:val="20"/>
        </w:rPr>
        <w:t>”</w:t>
      </w:r>
      <w:r w:rsidR="00F3099A" w:rsidRPr="00DB7FE4">
        <w:rPr>
          <w:rFonts w:ascii="Arial" w:hAnsi="Arial" w:cs="Arial"/>
          <w:sz w:val="20"/>
          <w:szCs w:val="20"/>
        </w:rPr>
        <w:t xml:space="preserve"> which has a proposed relative weight of 6.529.</w:t>
      </w:r>
      <w:r w:rsidRPr="00DB7FE4">
        <w:rPr>
          <w:rFonts w:ascii="Arial" w:hAnsi="Arial" w:cs="Arial"/>
          <w:sz w:val="20"/>
          <w:szCs w:val="20"/>
        </w:rPr>
        <w:t xml:space="preserve"> </w:t>
      </w:r>
    </w:p>
    <w:p w:rsidR="00F3099A" w:rsidRPr="00DB7FE4" w:rsidRDefault="00F3099A" w:rsidP="001A1397">
      <w:pPr>
        <w:rPr>
          <w:szCs w:val="20"/>
        </w:rPr>
      </w:pPr>
    </w:p>
    <w:p w:rsidR="007B38FA" w:rsidRPr="00DB7FE4" w:rsidRDefault="007B38FA" w:rsidP="003C2833">
      <w:pPr>
        <w:pStyle w:val="ListParagraph"/>
        <w:numPr>
          <w:ilvl w:val="0"/>
          <w:numId w:val="15"/>
        </w:numPr>
        <w:rPr>
          <w:rFonts w:ascii="Arial" w:hAnsi="Arial" w:cs="Arial"/>
          <w:sz w:val="20"/>
          <w:szCs w:val="20"/>
        </w:rPr>
      </w:pPr>
      <w:r w:rsidRPr="00DB7FE4">
        <w:rPr>
          <w:rFonts w:ascii="Arial" w:hAnsi="Arial" w:cs="Arial"/>
          <w:sz w:val="20"/>
          <w:szCs w:val="20"/>
        </w:rPr>
        <w:t>discusses these technologies in the context of new technology add-on payments</w:t>
      </w:r>
      <w:r w:rsidR="00F3099A" w:rsidRPr="00DB7FE4">
        <w:rPr>
          <w:rFonts w:ascii="Arial" w:hAnsi="Arial" w:cs="Arial"/>
          <w:sz w:val="20"/>
          <w:szCs w:val="20"/>
        </w:rPr>
        <w:t xml:space="preserve"> since </w:t>
      </w:r>
      <w:r w:rsidR="00AF26B4" w:rsidRPr="00DB7FE4">
        <w:rPr>
          <w:rFonts w:ascii="Arial" w:hAnsi="Arial" w:cs="Arial"/>
          <w:sz w:val="20"/>
          <w:szCs w:val="20"/>
        </w:rPr>
        <w:t xml:space="preserve">these </w:t>
      </w:r>
      <w:r w:rsidR="00F3099A" w:rsidRPr="00DB7FE4">
        <w:rPr>
          <w:rFonts w:ascii="Arial" w:hAnsi="Arial" w:cs="Arial"/>
          <w:sz w:val="20"/>
          <w:szCs w:val="20"/>
        </w:rPr>
        <w:t>two technologies submitted new technology add-on payment applications for FY 2019</w:t>
      </w:r>
      <w:r w:rsidRPr="00DB7FE4">
        <w:rPr>
          <w:rFonts w:ascii="Arial" w:hAnsi="Arial" w:cs="Arial"/>
          <w:sz w:val="20"/>
          <w:szCs w:val="20"/>
        </w:rPr>
        <w:t xml:space="preserve">. In the IPPS, new technology add-on payments provide additional payments (at a rate of 50 percent of the marginal cost) for cases with relatively high costs involving eligible new medical services or technologies. </w:t>
      </w:r>
      <w:r w:rsidR="00DB0975" w:rsidRPr="00DB7FE4">
        <w:rPr>
          <w:rFonts w:ascii="Arial" w:hAnsi="Arial" w:cs="Arial"/>
          <w:sz w:val="20"/>
          <w:szCs w:val="20"/>
        </w:rPr>
        <w:t>New technology add-on</w:t>
      </w:r>
      <w:r w:rsidRPr="00DB7FE4">
        <w:rPr>
          <w:rFonts w:ascii="Arial" w:hAnsi="Arial" w:cs="Arial"/>
          <w:sz w:val="20"/>
          <w:szCs w:val="20"/>
        </w:rPr>
        <w:t xml:space="preserve"> payments are not subject to budget neutrality </w:t>
      </w:r>
      <w:r w:rsidR="00DB0975" w:rsidRPr="00DB7FE4">
        <w:rPr>
          <w:rFonts w:ascii="Arial" w:hAnsi="Arial" w:cs="Arial"/>
          <w:sz w:val="20"/>
          <w:szCs w:val="20"/>
        </w:rPr>
        <w:t>which means they</w:t>
      </w:r>
      <w:r w:rsidRPr="00DB7FE4">
        <w:rPr>
          <w:rFonts w:ascii="Arial" w:hAnsi="Arial" w:cs="Arial"/>
          <w:sz w:val="20"/>
          <w:szCs w:val="20"/>
        </w:rPr>
        <w:t xml:space="preserve"> do not reduce payments for other </w:t>
      </w:r>
      <w:r w:rsidR="00C63D26" w:rsidRPr="00DB7FE4">
        <w:rPr>
          <w:rFonts w:ascii="Arial" w:hAnsi="Arial" w:cs="Arial"/>
          <w:sz w:val="20"/>
          <w:szCs w:val="20"/>
        </w:rPr>
        <w:t>IPPS</w:t>
      </w:r>
      <w:r w:rsidRPr="00DB7FE4">
        <w:rPr>
          <w:rFonts w:ascii="Arial" w:hAnsi="Arial" w:cs="Arial"/>
          <w:sz w:val="20"/>
          <w:szCs w:val="20"/>
        </w:rPr>
        <w:t xml:space="preserve"> services. </w:t>
      </w:r>
    </w:p>
    <w:p w:rsidR="003C2833" w:rsidRPr="00DB7FE4" w:rsidRDefault="003C2833" w:rsidP="003C2833">
      <w:pPr>
        <w:pStyle w:val="ListParagraph"/>
        <w:rPr>
          <w:rFonts w:ascii="Arial" w:hAnsi="Arial" w:cs="Arial"/>
          <w:sz w:val="20"/>
          <w:szCs w:val="20"/>
        </w:rPr>
      </w:pPr>
    </w:p>
    <w:p w:rsidR="00DB0975" w:rsidRPr="00DB7FE4" w:rsidRDefault="007B38FA" w:rsidP="003C2833">
      <w:pPr>
        <w:pStyle w:val="ListParagraph"/>
        <w:numPr>
          <w:ilvl w:val="0"/>
          <w:numId w:val="15"/>
        </w:numPr>
        <w:rPr>
          <w:rFonts w:ascii="Arial" w:hAnsi="Arial" w:cs="Arial"/>
          <w:sz w:val="20"/>
          <w:szCs w:val="20"/>
        </w:rPr>
      </w:pPr>
      <w:r w:rsidRPr="00DB7FE4">
        <w:rPr>
          <w:rFonts w:ascii="Arial" w:hAnsi="Arial" w:cs="Arial"/>
          <w:sz w:val="20"/>
          <w:szCs w:val="20"/>
        </w:rPr>
        <w:t>invites comments on alternative payment approaches</w:t>
      </w:r>
      <w:r w:rsidR="006277C8" w:rsidRPr="00DB7FE4">
        <w:rPr>
          <w:rFonts w:ascii="Arial" w:hAnsi="Arial" w:cs="Arial"/>
          <w:sz w:val="20"/>
          <w:szCs w:val="20"/>
        </w:rPr>
        <w:t xml:space="preserve"> for these two technologies. </w:t>
      </w:r>
      <w:r w:rsidR="00F3099A" w:rsidRPr="00DB7FE4">
        <w:rPr>
          <w:rFonts w:ascii="Arial" w:hAnsi="Arial" w:cs="Arial"/>
          <w:sz w:val="20"/>
          <w:szCs w:val="20"/>
        </w:rPr>
        <w:t xml:space="preserve">Based on feedback that hospitals would be unlikely to set charges different from cost for these services, </w:t>
      </w:r>
      <w:r w:rsidR="006277C8" w:rsidRPr="00DB7FE4">
        <w:rPr>
          <w:rFonts w:ascii="Arial" w:hAnsi="Arial" w:cs="Arial"/>
          <w:sz w:val="20"/>
          <w:szCs w:val="20"/>
        </w:rPr>
        <w:t>estimated at $400</w:t>
      </w:r>
      <w:r w:rsidR="00C60C26" w:rsidRPr="00DB7FE4">
        <w:rPr>
          <w:rFonts w:ascii="Arial" w:hAnsi="Arial" w:cs="Arial"/>
          <w:sz w:val="20"/>
          <w:szCs w:val="20"/>
        </w:rPr>
        <w:t xml:space="preserve">,000 to </w:t>
      </w:r>
      <w:r w:rsidR="006277C8" w:rsidRPr="00DB7FE4">
        <w:rPr>
          <w:rFonts w:ascii="Arial" w:hAnsi="Arial" w:cs="Arial"/>
          <w:sz w:val="20"/>
          <w:szCs w:val="20"/>
        </w:rPr>
        <w:t xml:space="preserve">$500,000 per therapy, </w:t>
      </w:r>
      <w:r w:rsidR="00F3099A" w:rsidRPr="00DB7FE4">
        <w:rPr>
          <w:rFonts w:ascii="Arial" w:hAnsi="Arial" w:cs="Arial"/>
          <w:sz w:val="20"/>
          <w:szCs w:val="20"/>
        </w:rPr>
        <w:t>the CMS discusses a suggestion to allow hospitals to use a cost</w:t>
      </w:r>
      <w:r w:rsidR="00DB0975" w:rsidRPr="00DB7FE4">
        <w:rPr>
          <w:rFonts w:ascii="Arial" w:hAnsi="Arial" w:cs="Arial"/>
          <w:sz w:val="20"/>
          <w:szCs w:val="20"/>
        </w:rPr>
        <w:t>-</w:t>
      </w:r>
      <w:r w:rsidR="00F3099A" w:rsidRPr="00DB7FE4">
        <w:rPr>
          <w:rFonts w:ascii="Arial" w:hAnsi="Arial" w:cs="Arial"/>
          <w:sz w:val="20"/>
          <w:szCs w:val="20"/>
        </w:rPr>
        <w:t>to</w:t>
      </w:r>
      <w:r w:rsidR="00DB0975" w:rsidRPr="00DB7FE4">
        <w:rPr>
          <w:rFonts w:ascii="Arial" w:hAnsi="Arial" w:cs="Arial"/>
          <w:sz w:val="20"/>
          <w:szCs w:val="20"/>
        </w:rPr>
        <w:t>-</w:t>
      </w:r>
      <w:r w:rsidR="00F3099A" w:rsidRPr="00DB7FE4">
        <w:rPr>
          <w:rFonts w:ascii="Arial" w:hAnsi="Arial" w:cs="Arial"/>
          <w:sz w:val="20"/>
          <w:szCs w:val="20"/>
        </w:rPr>
        <w:t>charge ratio of 1.0 for charges associated with these technologies for determining outlier payments a</w:t>
      </w:r>
      <w:r w:rsidR="00AF26B4" w:rsidRPr="00DB7FE4">
        <w:rPr>
          <w:rFonts w:ascii="Arial" w:hAnsi="Arial" w:cs="Arial"/>
          <w:sz w:val="20"/>
          <w:szCs w:val="20"/>
        </w:rPr>
        <w:t>nd for purposes of a new technology</w:t>
      </w:r>
      <w:r w:rsidR="00F3099A" w:rsidRPr="00DB7FE4">
        <w:rPr>
          <w:rFonts w:ascii="Arial" w:hAnsi="Arial" w:cs="Arial"/>
          <w:sz w:val="20"/>
          <w:szCs w:val="20"/>
        </w:rPr>
        <w:t xml:space="preserve"> add-on payment</w:t>
      </w:r>
      <w:r w:rsidR="00AF26B4" w:rsidRPr="00DB7FE4">
        <w:rPr>
          <w:rFonts w:ascii="Arial" w:hAnsi="Arial" w:cs="Arial"/>
          <w:sz w:val="20"/>
          <w:szCs w:val="20"/>
        </w:rPr>
        <w:t xml:space="preserve">. This change would result in a higher outlier payment, higher new technology add-on payment or the determination of higher costs for IPPS-excluded cancer hospital cases. </w:t>
      </w:r>
    </w:p>
    <w:p w:rsidR="00DB0975" w:rsidRPr="00DB7FE4" w:rsidRDefault="00DB0975" w:rsidP="001A1397">
      <w:pPr>
        <w:ind w:left="720"/>
        <w:rPr>
          <w:b/>
          <w:szCs w:val="20"/>
        </w:rPr>
      </w:pPr>
    </w:p>
    <w:p w:rsidR="007B38FA" w:rsidRDefault="00E464F3" w:rsidP="001A1397">
      <w:pPr>
        <w:rPr>
          <w:szCs w:val="20"/>
        </w:rPr>
      </w:pPr>
      <w:r>
        <w:rPr>
          <w:b/>
          <w:szCs w:val="20"/>
        </w:rPr>
        <w:t>Given the extremely high cost and unique nature of these services</w:t>
      </w:r>
      <w:r w:rsidR="00F45936">
        <w:rPr>
          <w:b/>
          <w:szCs w:val="20"/>
        </w:rPr>
        <w:t xml:space="preserve"> which are provided by a limited number of hospitals</w:t>
      </w:r>
      <w:r>
        <w:rPr>
          <w:b/>
          <w:szCs w:val="20"/>
        </w:rPr>
        <w:t xml:space="preserve">, the </w:t>
      </w:r>
      <w:r w:rsidR="00DB0975" w:rsidRPr="00DB7FE4">
        <w:rPr>
          <w:b/>
          <w:szCs w:val="20"/>
        </w:rPr>
        <w:t xml:space="preserve">MHA </w:t>
      </w:r>
      <w:r>
        <w:rPr>
          <w:b/>
          <w:szCs w:val="20"/>
        </w:rPr>
        <w:t xml:space="preserve">believes that </w:t>
      </w:r>
      <w:r w:rsidR="00DB0975" w:rsidRPr="00DB7FE4">
        <w:rPr>
          <w:b/>
          <w:szCs w:val="20"/>
        </w:rPr>
        <w:t xml:space="preserve">the CMS </w:t>
      </w:r>
      <w:r>
        <w:rPr>
          <w:b/>
          <w:szCs w:val="20"/>
        </w:rPr>
        <w:t>should pay for these items through a new technology add-on payment. Utilizing this payment option will ensure that the CMS pays only when th</w:t>
      </w:r>
      <w:r w:rsidR="00F45936">
        <w:rPr>
          <w:b/>
          <w:szCs w:val="20"/>
        </w:rPr>
        <w:t>e</w:t>
      </w:r>
      <w:r>
        <w:rPr>
          <w:b/>
          <w:szCs w:val="20"/>
        </w:rPr>
        <w:t xml:space="preserve">se technologies are used </w:t>
      </w:r>
      <w:r w:rsidR="00BA6E97">
        <w:rPr>
          <w:b/>
          <w:szCs w:val="20"/>
        </w:rPr>
        <w:t>and will not reduce payments for other core services which would result from establishing a new MS-DRG</w:t>
      </w:r>
      <w:r>
        <w:rPr>
          <w:b/>
          <w:szCs w:val="20"/>
        </w:rPr>
        <w:t xml:space="preserve">. </w:t>
      </w:r>
      <w:r w:rsidR="00B44B53" w:rsidRPr="00DB7FE4">
        <w:rPr>
          <w:szCs w:val="20"/>
        </w:rPr>
        <w:t xml:space="preserve"> </w:t>
      </w:r>
    </w:p>
    <w:p w:rsidR="00AB5801" w:rsidRPr="00DB7FE4" w:rsidRDefault="00AB5801" w:rsidP="001A1397">
      <w:pPr>
        <w:rPr>
          <w:szCs w:val="20"/>
        </w:rPr>
      </w:pPr>
    </w:p>
    <w:p w:rsidR="007B38FA" w:rsidRPr="00DB7FE4" w:rsidRDefault="007B38FA" w:rsidP="001A1397">
      <w:pPr>
        <w:rPr>
          <w:b/>
          <w:szCs w:val="20"/>
          <w:u w:val="single"/>
        </w:rPr>
      </w:pPr>
    </w:p>
    <w:p w:rsidR="00DB7FE4" w:rsidRDefault="00E419AC" w:rsidP="001A1397">
      <w:pPr>
        <w:rPr>
          <w:b/>
          <w:szCs w:val="20"/>
          <w:u w:val="single"/>
        </w:rPr>
      </w:pPr>
      <w:r w:rsidRPr="00DB7FE4">
        <w:rPr>
          <w:b/>
          <w:szCs w:val="20"/>
          <w:u w:val="single"/>
        </w:rPr>
        <w:t>RESTORATION OF ATRA DOCUMENTATION AND CODING OFFSET</w:t>
      </w:r>
      <w:r w:rsidR="00DB7FE4">
        <w:rPr>
          <w:b/>
          <w:szCs w:val="20"/>
          <w:u w:val="single"/>
        </w:rPr>
        <w:t xml:space="preserve"> </w:t>
      </w:r>
    </w:p>
    <w:p w:rsidR="00E419AC" w:rsidRPr="00DB7FE4" w:rsidRDefault="00DB7FE4" w:rsidP="001A1397">
      <w:pPr>
        <w:rPr>
          <w:sz w:val="16"/>
          <w:szCs w:val="16"/>
        </w:rPr>
      </w:pPr>
      <w:r w:rsidRPr="00DB7FE4">
        <w:rPr>
          <w:b/>
          <w:i/>
          <w:sz w:val="16"/>
          <w:szCs w:val="16"/>
        </w:rPr>
        <w:t>(</w:t>
      </w:r>
      <w:r w:rsidRPr="00DB7FE4">
        <w:rPr>
          <w:i/>
          <w:sz w:val="16"/>
          <w:szCs w:val="16"/>
        </w:rPr>
        <w:t>Federal Register</w:t>
      </w:r>
      <w:r w:rsidRPr="00DB7FE4">
        <w:rPr>
          <w:sz w:val="16"/>
          <w:szCs w:val="16"/>
        </w:rPr>
        <w:t xml:space="preserve"> pages 20,176-20177)</w:t>
      </w:r>
    </w:p>
    <w:p w:rsidR="00E419AC" w:rsidRPr="00DB7FE4" w:rsidRDefault="00E419AC" w:rsidP="001A1397">
      <w:pPr>
        <w:ind w:firstLine="432"/>
        <w:rPr>
          <w:b/>
          <w:szCs w:val="20"/>
          <w:u w:val="single"/>
        </w:rPr>
      </w:pPr>
      <w:r w:rsidRPr="00DB7FE4">
        <w:rPr>
          <w:b/>
          <w:szCs w:val="20"/>
          <w:u w:val="single"/>
        </w:rPr>
        <w:t xml:space="preserve"> </w:t>
      </w:r>
    </w:p>
    <w:p w:rsidR="00E419AC" w:rsidRPr="00DB7FE4" w:rsidRDefault="00B5560B" w:rsidP="001A1397">
      <w:pPr>
        <w:rPr>
          <w:szCs w:val="20"/>
        </w:rPr>
      </w:pPr>
      <w:r w:rsidRPr="00DB7FE4">
        <w:rPr>
          <w:szCs w:val="20"/>
        </w:rPr>
        <w:t>I</w:t>
      </w:r>
      <w:r w:rsidR="00E419AC" w:rsidRPr="00DB7FE4">
        <w:rPr>
          <w:szCs w:val="20"/>
        </w:rPr>
        <w:t>n FY 2018</w:t>
      </w:r>
      <w:r w:rsidRPr="00DB7FE4">
        <w:rPr>
          <w:szCs w:val="20"/>
        </w:rPr>
        <w:t xml:space="preserve">, the CMS </w:t>
      </w:r>
      <w:r w:rsidR="00E419AC" w:rsidRPr="00DB7FE4">
        <w:rPr>
          <w:szCs w:val="20"/>
        </w:rPr>
        <w:t>beg</w:t>
      </w:r>
      <w:r w:rsidRPr="00DB7FE4">
        <w:rPr>
          <w:szCs w:val="20"/>
        </w:rPr>
        <w:t>a</w:t>
      </w:r>
      <w:r w:rsidR="00E419AC" w:rsidRPr="00DB7FE4">
        <w:rPr>
          <w:szCs w:val="20"/>
        </w:rPr>
        <w:t xml:space="preserve">n a six-year process required by statute to restore </w:t>
      </w:r>
      <w:r w:rsidR="001C1623" w:rsidRPr="00DB7FE4">
        <w:rPr>
          <w:szCs w:val="20"/>
        </w:rPr>
        <w:t>the negative adjustments</w:t>
      </w:r>
      <w:r w:rsidR="00E419AC" w:rsidRPr="00DB7FE4">
        <w:rPr>
          <w:szCs w:val="20"/>
        </w:rPr>
        <w:t xml:space="preserve"> removed from the IPPS base operating rates to recoup $11 billion in payments for documentation and coding adjustments mandated by the American Taxpayer Relief Act of 2012 (ATRA). The CMS implemented a 0.8 percent cut to the annual market basket update in </w:t>
      </w:r>
      <w:r w:rsidR="00DC0218" w:rsidRPr="00DB7FE4">
        <w:rPr>
          <w:szCs w:val="20"/>
        </w:rPr>
        <w:t>FYs</w:t>
      </w:r>
      <w:r w:rsidR="00E419AC" w:rsidRPr="00DB7FE4">
        <w:rPr>
          <w:szCs w:val="20"/>
        </w:rPr>
        <w:t xml:space="preserve"> 2014-2016 to recoup the effect of documentation and coding changes that the CMS believes do not reflect real changes in patient acuity. For FY 2017, the CMS increased this cut from 0.8 percentage points to 1.5 percentage points to achieve the $11 billion targeted through the ATRA. </w:t>
      </w:r>
    </w:p>
    <w:p w:rsidR="00E419AC" w:rsidRPr="00DB7FE4" w:rsidRDefault="00E419AC" w:rsidP="001A1397">
      <w:pPr>
        <w:rPr>
          <w:szCs w:val="20"/>
        </w:rPr>
      </w:pPr>
    </w:p>
    <w:p w:rsidR="00E419AC" w:rsidRPr="00DB7FE4" w:rsidRDefault="00E419AC" w:rsidP="001A1397">
      <w:pPr>
        <w:rPr>
          <w:szCs w:val="20"/>
        </w:rPr>
      </w:pPr>
      <w:r w:rsidRPr="00DB7FE4">
        <w:rPr>
          <w:szCs w:val="20"/>
        </w:rPr>
        <w:t xml:space="preserve">In the </w:t>
      </w:r>
      <w:r w:rsidR="00B5560B" w:rsidRPr="00DB7FE4">
        <w:rPr>
          <w:szCs w:val="20"/>
        </w:rPr>
        <w:t xml:space="preserve">FY 2018 IPPS </w:t>
      </w:r>
      <w:r w:rsidRPr="00DB7FE4">
        <w:rPr>
          <w:szCs w:val="20"/>
        </w:rPr>
        <w:t>proposed rule, the CMS indicate</w:t>
      </w:r>
      <w:r w:rsidR="00B5560B" w:rsidRPr="00DB7FE4">
        <w:rPr>
          <w:szCs w:val="20"/>
        </w:rPr>
        <w:t>d</w:t>
      </w:r>
      <w:r w:rsidRPr="00DB7FE4">
        <w:rPr>
          <w:szCs w:val="20"/>
        </w:rPr>
        <w:t xml:space="preserve"> that the agency had anticipated making a single positive adjustment in FY 2018 to offset the reductions, which would have been 3.2 percent if the CMS had made four adjustments of -0.8 percent as originally planned. However, two pieces of legislation modified this plan.</w:t>
      </w:r>
    </w:p>
    <w:p w:rsidR="00E419AC" w:rsidRPr="00DB7FE4" w:rsidRDefault="00E419AC" w:rsidP="001A1397">
      <w:pPr>
        <w:rPr>
          <w:szCs w:val="20"/>
        </w:rPr>
      </w:pPr>
    </w:p>
    <w:p w:rsidR="00E419AC" w:rsidRPr="00DB7FE4" w:rsidRDefault="00E419AC" w:rsidP="001A1397">
      <w:pPr>
        <w:rPr>
          <w:szCs w:val="20"/>
        </w:rPr>
      </w:pPr>
      <w:r w:rsidRPr="00DB7FE4">
        <w:rPr>
          <w:szCs w:val="20"/>
        </w:rPr>
        <w:t>Section 414 of the Medicare Access and CHIP Reauthorization Act (MACRA) was enacted in April 2015, and replaced the single positive adjustment that the CMS had intended to make in FY 2018. The CMS replaced the one-time positive adjustment with a 0.5 percentage point positive adjustment for each year, FY</w:t>
      </w:r>
      <w:r w:rsidR="00DC0218" w:rsidRPr="00DB7FE4">
        <w:rPr>
          <w:szCs w:val="20"/>
        </w:rPr>
        <w:t>s</w:t>
      </w:r>
      <w:r w:rsidRPr="00DB7FE4">
        <w:rPr>
          <w:szCs w:val="20"/>
        </w:rPr>
        <w:t xml:space="preserve"> 2018</w:t>
      </w:r>
      <w:r w:rsidR="00DC0218" w:rsidRPr="00DB7FE4">
        <w:rPr>
          <w:szCs w:val="20"/>
        </w:rPr>
        <w:t>-</w:t>
      </w:r>
      <w:r w:rsidRPr="00DB7FE4">
        <w:rPr>
          <w:szCs w:val="20"/>
        </w:rPr>
        <w:t xml:space="preserve"> 2023, which equates to a total positive </w:t>
      </w:r>
      <w:r w:rsidR="00DC0218" w:rsidRPr="00DB7FE4">
        <w:rPr>
          <w:szCs w:val="20"/>
        </w:rPr>
        <w:t xml:space="preserve">adjustment </w:t>
      </w:r>
      <w:r w:rsidRPr="00DB7FE4">
        <w:rPr>
          <w:szCs w:val="20"/>
        </w:rPr>
        <w:t xml:space="preserve">of 3.0 percent instead of the 3.9 percent cumulative adjustment that the CMS indicated was required by ATRA. </w:t>
      </w:r>
    </w:p>
    <w:p w:rsidR="00E419AC" w:rsidRPr="00DB7FE4" w:rsidRDefault="00E419AC" w:rsidP="001A1397">
      <w:pPr>
        <w:rPr>
          <w:szCs w:val="20"/>
        </w:rPr>
      </w:pPr>
    </w:p>
    <w:p w:rsidR="00E419AC" w:rsidRPr="00DB7FE4" w:rsidRDefault="00E419AC" w:rsidP="001A1397">
      <w:pPr>
        <w:rPr>
          <w:b/>
          <w:szCs w:val="20"/>
        </w:rPr>
      </w:pPr>
      <w:r w:rsidRPr="00DB7FE4">
        <w:rPr>
          <w:szCs w:val="20"/>
        </w:rPr>
        <w:t>More recently, the 21</w:t>
      </w:r>
      <w:r w:rsidRPr="00DB7FE4">
        <w:rPr>
          <w:szCs w:val="20"/>
          <w:vertAlign w:val="superscript"/>
        </w:rPr>
        <w:t>st</w:t>
      </w:r>
      <w:r w:rsidRPr="00DB7FE4">
        <w:rPr>
          <w:szCs w:val="20"/>
        </w:rPr>
        <w:t xml:space="preserve"> Century Cures Act was enacted </w:t>
      </w:r>
      <w:r w:rsidR="00DC0218" w:rsidRPr="00DB7FE4">
        <w:rPr>
          <w:szCs w:val="20"/>
        </w:rPr>
        <w:t>in December</w:t>
      </w:r>
      <w:r w:rsidRPr="00DB7FE4">
        <w:rPr>
          <w:szCs w:val="20"/>
        </w:rPr>
        <w:t xml:space="preserve"> 2016</w:t>
      </w:r>
      <w:r w:rsidR="00DC0218" w:rsidRPr="00DB7FE4">
        <w:rPr>
          <w:szCs w:val="20"/>
        </w:rPr>
        <w:t xml:space="preserve"> and</w:t>
      </w:r>
      <w:r w:rsidRPr="00DB7FE4">
        <w:rPr>
          <w:szCs w:val="20"/>
        </w:rPr>
        <w:t xml:space="preserve"> required the CMS to reduce the positive adjustment for FY 2018 from 0.5 percentage points to 0.4588 percentage points which results in a cumulative restoration adjustment for documentation and coding </w:t>
      </w:r>
      <w:r w:rsidR="00DC0218" w:rsidRPr="00DB7FE4">
        <w:rPr>
          <w:szCs w:val="20"/>
        </w:rPr>
        <w:t xml:space="preserve">of </w:t>
      </w:r>
      <w:r w:rsidRPr="00DB7FE4">
        <w:rPr>
          <w:szCs w:val="20"/>
        </w:rPr>
        <w:t xml:space="preserve">2.9588 percent rather than the 3.9 percent removed from the rates to complete the recoupment. </w:t>
      </w:r>
      <w:r w:rsidRPr="00DB7FE4">
        <w:rPr>
          <w:b/>
          <w:szCs w:val="20"/>
        </w:rPr>
        <w:t xml:space="preserve">The MHA </w:t>
      </w:r>
      <w:r w:rsidR="00470DB9" w:rsidRPr="00DB7FE4">
        <w:rPr>
          <w:b/>
          <w:szCs w:val="20"/>
        </w:rPr>
        <w:t xml:space="preserve">believes, despite current law, that </w:t>
      </w:r>
      <w:r w:rsidRPr="00DB7FE4">
        <w:rPr>
          <w:b/>
          <w:szCs w:val="20"/>
        </w:rPr>
        <w:t xml:space="preserve">the CMS </w:t>
      </w:r>
      <w:r w:rsidR="00470DB9" w:rsidRPr="00DB7FE4">
        <w:rPr>
          <w:b/>
          <w:szCs w:val="20"/>
        </w:rPr>
        <w:t xml:space="preserve">should </w:t>
      </w:r>
      <w:r w:rsidRPr="00DB7FE4">
        <w:rPr>
          <w:b/>
          <w:szCs w:val="20"/>
        </w:rPr>
        <w:t xml:space="preserve">ensure that the full 3.9 percent withheld is returned to hospitals. </w:t>
      </w:r>
    </w:p>
    <w:p w:rsidR="00E419AC" w:rsidRPr="00DB7FE4" w:rsidRDefault="00E419AC" w:rsidP="001A1397">
      <w:pPr>
        <w:autoSpaceDE w:val="0"/>
        <w:autoSpaceDN w:val="0"/>
        <w:adjustRightInd w:val="0"/>
        <w:rPr>
          <w:b/>
          <w:szCs w:val="20"/>
          <w:u w:val="single"/>
        </w:rPr>
      </w:pPr>
    </w:p>
    <w:p w:rsidR="00D97A5A" w:rsidRDefault="00D97A5A" w:rsidP="001A1397">
      <w:pPr>
        <w:rPr>
          <w:b/>
          <w:szCs w:val="20"/>
          <w:u w:val="single"/>
        </w:rPr>
      </w:pPr>
      <w:r w:rsidRPr="00DB7FE4">
        <w:rPr>
          <w:b/>
          <w:szCs w:val="20"/>
          <w:u w:val="single"/>
        </w:rPr>
        <w:t xml:space="preserve">REDUCTIONS IN MS-DRG </w:t>
      </w:r>
      <w:r w:rsidR="00B66F89" w:rsidRPr="00DB7FE4">
        <w:rPr>
          <w:b/>
          <w:szCs w:val="20"/>
          <w:u w:val="single"/>
        </w:rPr>
        <w:t>RELATIVE WEIGHTS</w:t>
      </w:r>
    </w:p>
    <w:p w:rsidR="00DB7FE4" w:rsidRPr="00DB7FE4" w:rsidRDefault="00DB7FE4" w:rsidP="001A1397">
      <w:pPr>
        <w:rPr>
          <w:sz w:val="16"/>
          <w:szCs w:val="16"/>
        </w:rPr>
      </w:pPr>
      <w:r w:rsidRPr="00DB7FE4">
        <w:rPr>
          <w:sz w:val="16"/>
          <w:szCs w:val="16"/>
        </w:rPr>
        <w:t>(</w:t>
      </w:r>
      <w:r w:rsidRPr="00DB7FE4">
        <w:rPr>
          <w:i/>
          <w:sz w:val="16"/>
          <w:szCs w:val="16"/>
        </w:rPr>
        <w:t>Federal Register</w:t>
      </w:r>
      <w:r w:rsidRPr="00DB7FE4">
        <w:rPr>
          <w:sz w:val="16"/>
          <w:szCs w:val="16"/>
        </w:rPr>
        <w:t xml:space="preserve"> pages 20,176-20,353)</w:t>
      </w:r>
    </w:p>
    <w:p w:rsidR="00D97A5A" w:rsidRPr="00DB7FE4" w:rsidRDefault="00D97A5A" w:rsidP="001A1397">
      <w:pPr>
        <w:rPr>
          <w:b/>
          <w:szCs w:val="20"/>
          <w:u w:val="single"/>
        </w:rPr>
      </w:pPr>
    </w:p>
    <w:p w:rsidR="001C23CC" w:rsidRPr="00DB7FE4" w:rsidRDefault="00DB7FE4" w:rsidP="001A1397">
      <w:pPr>
        <w:rPr>
          <w:szCs w:val="20"/>
        </w:rPr>
      </w:pPr>
      <w:r>
        <w:rPr>
          <w:szCs w:val="20"/>
        </w:rPr>
        <w:t xml:space="preserve">The CMS updates the MS-DRG classifications and relative weights annually to reflect changes in treatment patterns, technology, and any other factors that may change the relative use of hospital resources. </w:t>
      </w:r>
      <w:r w:rsidR="00E92624" w:rsidRPr="00DB7FE4">
        <w:rPr>
          <w:szCs w:val="20"/>
        </w:rPr>
        <w:t>A review of the CMS Table 5 indicates that the proposed r</w:t>
      </w:r>
      <w:r w:rsidR="007B5370" w:rsidRPr="00DB7FE4">
        <w:rPr>
          <w:szCs w:val="20"/>
        </w:rPr>
        <w:t xml:space="preserve">elative weights </w:t>
      </w:r>
      <w:r w:rsidR="001C23CC" w:rsidRPr="00DB7FE4">
        <w:rPr>
          <w:szCs w:val="20"/>
        </w:rPr>
        <w:t xml:space="preserve">for four </w:t>
      </w:r>
      <w:r w:rsidR="007B5370" w:rsidRPr="00DB7FE4">
        <w:rPr>
          <w:szCs w:val="20"/>
        </w:rPr>
        <w:t>MS-DRGs</w:t>
      </w:r>
      <w:r w:rsidR="001C23CC" w:rsidRPr="00DB7FE4">
        <w:rPr>
          <w:szCs w:val="20"/>
        </w:rPr>
        <w:t xml:space="preserve"> would decrease by 20 percent or more in FY 2019</w:t>
      </w:r>
      <w:r w:rsidR="001C1623" w:rsidRPr="00DB7FE4">
        <w:rPr>
          <w:szCs w:val="20"/>
        </w:rPr>
        <w:t xml:space="preserve"> as reflected below</w:t>
      </w:r>
      <w:r w:rsidR="001C23CC" w:rsidRPr="00DB7FE4">
        <w:rPr>
          <w:szCs w:val="20"/>
        </w:rPr>
        <w:t xml:space="preserve">: </w:t>
      </w:r>
    </w:p>
    <w:p w:rsidR="000B7A86" w:rsidRPr="00DB7FE4" w:rsidRDefault="000B7A86" w:rsidP="001A1397">
      <w:pPr>
        <w:rPr>
          <w:szCs w:val="20"/>
        </w:rPr>
      </w:pPr>
    </w:p>
    <w:tbl>
      <w:tblPr>
        <w:tblW w:w="10100" w:type="dxa"/>
        <w:tblLook w:val="04A0" w:firstRow="1" w:lastRow="0" w:firstColumn="1" w:lastColumn="0" w:noHBand="0" w:noVBand="1"/>
      </w:tblPr>
      <w:tblGrid>
        <w:gridCol w:w="661"/>
        <w:gridCol w:w="6150"/>
        <w:gridCol w:w="1245"/>
        <w:gridCol w:w="1139"/>
        <w:gridCol w:w="1239"/>
      </w:tblGrid>
      <w:tr w:rsidR="001C23CC" w:rsidRPr="00DB7FE4" w:rsidTr="001C23CC">
        <w:trPr>
          <w:trHeight w:val="800"/>
        </w:trPr>
        <w:tc>
          <w:tcPr>
            <w:tcW w:w="628" w:type="dxa"/>
            <w:tcBorders>
              <w:top w:val="single" w:sz="4" w:space="0" w:color="auto"/>
              <w:left w:val="single" w:sz="4" w:space="0" w:color="auto"/>
              <w:bottom w:val="single" w:sz="4" w:space="0" w:color="auto"/>
              <w:right w:val="single" w:sz="4" w:space="0" w:color="auto"/>
            </w:tcBorders>
            <w:shd w:val="clear" w:color="000000" w:fill="969696"/>
            <w:vAlign w:val="bottom"/>
            <w:hideMark/>
          </w:tcPr>
          <w:p w:rsidR="001C23CC" w:rsidRPr="00DB7FE4" w:rsidRDefault="001C23CC" w:rsidP="001A1397">
            <w:pPr>
              <w:rPr>
                <w:rFonts w:eastAsia="Times New Roman"/>
                <w:b/>
                <w:bCs/>
                <w:szCs w:val="20"/>
              </w:rPr>
            </w:pPr>
            <w:r w:rsidRPr="00DB7FE4">
              <w:rPr>
                <w:rFonts w:eastAsia="Times New Roman"/>
                <w:b/>
                <w:bCs/>
                <w:szCs w:val="20"/>
              </w:rPr>
              <w:t xml:space="preserve">MS-DRG </w:t>
            </w:r>
          </w:p>
        </w:tc>
        <w:tc>
          <w:tcPr>
            <w:tcW w:w="6150" w:type="dxa"/>
            <w:tcBorders>
              <w:top w:val="single" w:sz="4" w:space="0" w:color="auto"/>
              <w:left w:val="nil"/>
              <w:bottom w:val="single" w:sz="4" w:space="0" w:color="auto"/>
              <w:right w:val="single" w:sz="4" w:space="0" w:color="auto"/>
            </w:tcBorders>
            <w:shd w:val="clear" w:color="000000" w:fill="969696"/>
            <w:vAlign w:val="bottom"/>
            <w:hideMark/>
          </w:tcPr>
          <w:p w:rsidR="001C23CC" w:rsidRPr="00DB7FE4" w:rsidRDefault="001C23CC" w:rsidP="001A1397">
            <w:pPr>
              <w:rPr>
                <w:rFonts w:eastAsia="Times New Roman"/>
                <w:b/>
                <w:bCs/>
                <w:szCs w:val="20"/>
              </w:rPr>
            </w:pPr>
            <w:r w:rsidRPr="00DB7FE4">
              <w:rPr>
                <w:rFonts w:eastAsia="Times New Roman"/>
                <w:b/>
                <w:bCs/>
                <w:szCs w:val="20"/>
              </w:rPr>
              <w:t>MS-DRG Title</w:t>
            </w:r>
          </w:p>
        </w:tc>
        <w:tc>
          <w:tcPr>
            <w:tcW w:w="1245" w:type="dxa"/>
            <w:tcBorders>
              <w:top w:val="single" w:sz="4" w:space="0" w:color="auto"/>
              <w:left w:val="nil"/>
              <w:bottom w:val="single" w:sz="4" w:space="0" w:color="auto"/>
              <w:right w:val="single" w:sz="4" w:space="0" w:color="auto"/>
            </w:tcBorders>
            <w:shd w:val="clear" w:color="000000" w:fill="969696"/>
            <w:vAlign w:val="bottom"/>
            <w:hideMark/>
          </w:tcPr>
          <w:p w:rsidR="001C23CC" w:rsidRPr="00DB7FE4" w:rsidRDefault="001C23CC" w:rsidP="001A1397">
            <w:pPr>
              <w:rPr>
                <w:rFonts w:eastAsia="Times New Roman"/>
                <w:b/>
                <w:bCs/>
                <w:szCs w:val="20"/>
              </w:rPr>
            </w:pPr>
            <w:r w:rsidRPr="00DB7FE4">
              <w:rPr>
                <w:rFonts w:eastAsia="Times New Roman"/>
                <w:b/>
                <w:bCs/>
                <w:szCs w:val="20"/>
              </w:rPr>
              <w:t xml:space="preserve"> FY 2018 Final Weights </w:t>
            </w:r>
          </w:p>
        </w:tc>
        <w:tc>
          <w:tcPr>
            <w:tcW w:w="1072" w:type="dxa"/>
            <w:tcBorders>
              <w:top w:val="single" w:sz="4" w:space="0" w:color="auto"/>
              <w:left w:val="nil"/>
              <w:bottom w:val="single" w:sz="4" w:space="0" w:color="auto"/>
              <w:right w:val="single" w:sz="4" w:space="0" w:color="auto"/>
            </w:tcBorders>
            <w:shd w:val="clear" w:color="000000" w:fill="969696"/>
            <w:vAlign w:val="bottom"/>
            <w:hideMark/>
          </w:tcPr>
          <w:p w:rsidR="001C23CC" w:rsidRPr="00DB7FE4" w:rsidRDefault="001C23CC" w:rsidP="001A1397">
            <w:pPr>
              <w:rPr>
                <w:rFonts w:eastAsia="Times New Roman"/>
                <w:b/>
                <w:bCs/>
                <w:szCs w:val="20"/>
              </w:rPr>
            </w:pPr>
            <w:r w:rsidRPr="00DB7FE4">
              <w:rPr>
                <w:rFonts w:eastAsia="Times New Roman"/>
                <w:b/>
                <w:bCs/>
                <w:szCs w:val="20"/>
              </w:rPr>
              <w:t xml:space="preserve"> FY 2019 Proposed Weights </w:t>
            </w:r>
          </w:p>
        </w:tc>
        <w:tc>
          <w:tcPr>
            <w:tcW w:w="1005" w:type="dxa"/>
            <w:tcBorders>
              <w:top w:val="single" w:sz="4" w:space="0" w:color="auto"/>
              <w:left w:val="nil"/>
              <w:bottom w:val="single" w:sz="4" w:space="0" w:color="auto"/>
              <w:right w:val="single" w:sz="4" w:space="0" w:color="auto"/>
            </w:tcBorders>
            <w:shd w:val="clear" w:color="000000" w:fill="969696"/>
            <w:vAlign w:val="bottom"/>
            <w:hideMark/>
          </w:tcPr>
          <w:p w:rsidR="001C23CC" w:rsidRPr="00DB7FE4" w:rsidRDefault="001C23CC" w:rsidP="001A1397">
            <w:pPr>
              <w:rPr>
                <w:rFonts w:eastAsia="Times New Roman"/>
                <w:b/>
                <w:bCs/>
                <w:szCs w:val="20"/>
              </w:rPr>
            </w:pPr>
            <w:r w:rsidRPr="00DB7FE4">
              <w:rPr>
                <w:rFonts w:eastAsia="Times New Roman"/>
                <w:b/>
                <w:bCs/>
                <w:szCs w:val="20"/>
              </w:rPr>
              <w:t>% Increase (Decrease)</w:t>
            </w:r>
          </w:p>
        </w:tc>
      </w:tr>
      <w:tr w:rsidR="001C23CC" w:rsidRPr="00DB7FE4" w:rsidTr="001C23CC">
        <w:trPr>
          <w:trHeight w:val="290"/>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1C23CC" w:rsidRPr="00DB7FE4" w:rsidRDefault="001C23CC" w:rsidP="001A1397">
            <w:pPr>
              <w:rPr>
                <w:rFonts w:eastAsia="Times New Roman"/>
                <w:color w:val="000000"/>
                <w:szCs w:val="20"/>
              </w:rPr>
            </w:pPr>
            <w:r w:rsidRPr="00DB7FE4">
              <w:rPr>
                <w:rFonts w:eastAsia="Times New Roman"/>
                <w:color w:val="000000"/>
                <w:szCs w:val="20"/>
              </w:rPr>
              <w:t>295</w:t>
            </w:r>
          </w:p>
        </w:tc>
        <w:tc>
          <w:tcPr>
            <w:tcW w:w="6150" w:type="dxa"/>
            <w:tcBorders>
              <w:top w:val="nil"/>
              <w:left w:val="nil"/>
              <w:bottom w:val="single" w:sz="4" w:space="0" w:color="auto"/>
              <w:right w:val="single" w:sz="4" w:space="0" w:color="auto"/>
            </w:tcBorders>
            <w:shd w:val="clear" w:color="auto" w:fill="auto"/>
            <w:noWrap/>
            <w:vAlign w:val="bottom"/>
            <w:hideMark/>
          </w:tcPr>
          <w:p w:rsidR="001C23CC" w:rsidRPr="00DB7FE4" w:rsidRDefault="001C23CC" w:rsidP="001A1397">
            <w:pPr>
              <w:rPr>
                <w:rFonts w:eastAsia="Times New Roman"/>
                <w:color w:val="000000"/>
                <w:szCs w:val="20"/>
              </w:rPr>
            </w:pPr>
            <w:r w:rsidRPr="00DB7FE4">
              <w:rPr>
                <w:rFonts w:eastAsia="Times New Roman"/>
                <w:color w:val="000000"/>
                <w:szCs w:val="20"/>
              </w:rPr>
              <w:t>DEEP VEIN THROMBOPHLEBITIS W/O CC/MCC</w:t>
            </w:r>
          </w:p>
        </w:tc>
        <w:tc>
          <w:tcPr>
            <w:tcW w:w="1245" w:type="dxa"/>
            <w:tcBorders>
              <w:top w:val="nil"/>
              <w:left w:val="nil"/>
              <w:bottom w:val="single" w:sz="4" w:space="0" w:color="auto"/>
              <w:right w:val="single" w:sz="4" w:space="0" w:color="auto"/>
            </w:tcBorders>
            <w:shd w:val="clear" w:color="auto" w:fill="auto"/>
            <w:noWrap/>
            <w:vAlign w:val="bottom"/>
            <w:hideMark/>
          </w:tcPr>
          <w:p w:rsidR="001C23CC" w:rsidRPr="00DB7FE4" w:rsidRDefault="001C23CC" w:rsidP="001A1397">
            <w:pPr>
              <w:rPr>
                <w:rFonts w:eastAsia="Times New Roman"/>
                <w:color w:val="000000"/>
                <w:szCs w:val="20"/>
              </w:rPr>
            </w:pPr>
            <w:r w:rsidRPr="00DB7FE4">
              <w:rPr>
                <w:rFonts w:eastAsia="Times New Roman"/>
                <w:color w:val="000000"/>
                <w:szCs w:val="20"/>
              </w:rPr>
              <w:t xml:space="preserve">          0.7855 </w:t>
            </w:r>
          </w:p>
        </w:tc>
        <w:tc>
          <w:tcPr>
            <w:tcW w:w="1072" w:type="dxa"/>
            <w:tcBorders>
              <w:top w:val="nil"/>
              <w:left w:val="nil"/>
              <w:bottom w:val="single" w:sz="4" w:space="0" w:color="auto"/>
              <w:right w:val="single" w:sz="4" w:space="0" w:color="auto"/>
            </w:tcBorders>
            <w:shd w:val="clear" w:color="auto" w:fill="auto"/>
            <w:noWrap/>
            <w:vAlign w:val="bottom"/>
            <w:hideMark/>
          </w:tcPr>
          <w:p w:rsidR="001C23CC" w:rsidRPr="00DB7FE4" w:rsidRDefault="001C23CC" w:rsidP="001A1397">
            <w:pPr>
              <w:rPr>
                <w:rFonts w:eastAsia="Times New Roman"/>
                <w:color w:val="000000"/>
                <w:szCs w:val="20"/>
              </w:rPr>
            </w:pPr>
            <w:r w:rsidRPr="00DB7FE4">
              <w:rPr>
                <w:rFonts w:eastAsia="Times New Roman"/>
                <w:color w:val="000000"/>
                <w:szCs w:val="20"/>
              </w:rPr>
              <w:t>0.5507</w:t>
            </w:r>
          </w:p>
        </w:tc>
        <w:tc>
          <w:tcPr>
            <w:tcW w:w="1005" w:type="dxa"/>
            <w:tcBorders>
              <w:top w:val="nil"/>
              <w:left w:val="nil"/>
              <w:bottom w:val="single" w:sz="4" w:space="0" w:color="auto"/>
              <w:right w:val="single" w:sz="4" w:space="0" w:color="auto"/>
            </w:tcBorders>
            <w:shd w:val="clear" w:color="auto" w:fill="auto"/>
            <w:noWrap/>
            <w:vAlign w:val="bottom"/>
            <w:hideMark/>
          </w:tcPr>
          <w:p w:rsidR="001C23CC" w:rsidRPr="00DB7FE4" w:rsidRDefault="001C23CC" w:rsidP="001A1397">
            <w:pPr>
              <w:rPr>
                <w:rFonts w:eastAsia="Times New Roman"/>
                <w:color w:val="000000"/>
                <w:szCs w:val="20"/>
              </w:rPr>
            </w:pPr>
            <w:r w:rsidRPr="00DB7FE4">
              <w:rPr>
                <w:rFonts w:eastAsia="Times New Roman"/>
                <w:color w:val="000000"/>
                <w:szCs w:val="20"/>
              </w:rPr>
              <w:t>-29.9%</w:t>
            </w:r>
          </w:p>
        </w:tc>
      </w:tr>
      <w:tr w:rsidR="001C23CC" w:rsidRPr="00DB7FE4" w:rsidTr="001C23CC">
        <w:trPr>
          <w:trHeight w:val="290"/>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1C23CC" w:rsidRPr="00DB7FE4" w:rsidRDefault="001C23CC" w:rsidP="001A1397">
            <w:pPr>
              <w:rPr>
                <w:rFonts w:eastAsia="Times New Roman"/>
                <w:color w:val="000000"/>
                <w:szCs w:val="20"/>
              </w:rPr>
            </w:pPr>
            <w:r w:rsidRPr="00DB7FE4">
              <w:rPr>
                <w:rFonts w:eastAsia="Times New Roman"/>
                <w:color w:val="000000"/>
                <w:szCs w:val="20"/>
              </w:rPr>
              <w:t>661</w:t>
            </w:r>
          </w:p>
        </w:tc>
        <w:tc>
          <w:tcPr>
            <w:tcW w:w="6150" w:type="dxa"/>
            <w:tcBorders>
              <w:top w:val="nil"/>
              <w:left w:val="nil"/>
              <w:bottom w:val="single" w:sz="4" w:space="0" w:color="auto"/>
              <w:right w:val="single" w:sz="4" w:space="0" w:color="auto"/>
            </w:tcBorders>
            <w:shd w:val="clear" w:color="auto" w:fill="auto"/>
            <w:noWrap/>
            <w:vAlign w:val="bottom"/>
            <w:hideMark/>
          </w:tcPr>
          <w:p w:rsidR="001C23CC" w:rsidRPr="00DB7FE4" w:rsidRDefault="001C23CC" w:rsidP="001A1397">
            <w:pPr>
              <w:rPr>
                <w:rFonts w:eastAsia="Times New Roman"/>
                <w:color w:val="000000"/>
                <w:szCs w:val="20"/>
              </w:rPr>
            </w:pPr>
            <w:r w:rsidRPr="00DB7FE4">
              <w:rPr>
                <w:rFonts w:eastAsia="Times New Roman"/>
                <w:color w:val="000000"/>
                <w:szCs w:val="20"/>
              </w:rPr>
              <w:t>KIDNEY &amp; URETER PROCEDURES FOR NON-NEOPLASM W/O CC/MCC</w:t>
            </w:r>
          </w:p>
        </w:tc>
        <w:tc>
          <w:tcPr>
            <w:tcW w:w="1245" w:type="dxa"/>
            <w:tcBorders>
              <w:top w:val="nil"/>
              <w:left w:val="nil"/>
              <w:bottom w:val="single" w:sz="4" w:space="0" w:color="auto"/>
              <w:right w:val="single" w:sz="4" w:space="0" w:color="auto"/>
            </w:tcBorders>
            <w:shd w:val="clear" w:color="auto" w:fill="auto"/>
            <w:noWrap/>
            <w:vAlign w:val="bottom"/>
            <w:hideMark/>
          </w:tcPr>
          <w:p w:rsidR="001C23CC" w:rsidRPr="00DB7FE4" w:rsidRDefault="001C23CC" w:rsidP="001A1397">
            <w:pPr>
              <w:rPr>
                <w:rFonts w:eastAsia="Times New Roman"/>
                <w:color w:val="000000"/>
                <w:szCs w:val="20"/>
              </w:rPr>
            </w:pPr>
            <w:r w:rsidRPr="00DB7FE4">
              <w:rPr>
                <w:rFonts w:eastAsia="Times New Roman"/>
                <w:color w:val="000000"/>
                <w:szCs w:val="20"/>
              </w:rPr>
              <w:t xml:space="preserve">          1.4540 </w:t>
            </w:r>
          </w:p>
        </w:tc>
        <w:tc>
          <w:tcPr>
            <w:tcW w:w="1072" w:type="dxa"/>
            <w:tcBorders>
              <w:top w:val="nil"/>
              <w:left w:val="nil"/>
              <w:bottom w:val="single" w:sz="4" w:space="0" w:color="auto"/>
              <w:right w:val="single" w:sz="4" w:space="0" w:color="auto"/>
            </w:tcBorders>
            <w:shd w:val="clear" w:color="auto" w:fill="auto"/>
            <w:noWrap/>
            <w:vAlign w:val="bottom"/>
            <w:hideMark/>
          </w:tcPr>
          <w:p w:rsidR="001C23CC" w:rsidRPr="00DB7FE4" w:rsidRDefault="001C23CC" w:rsidP="001A1397">
            <w:pPr>
              <w:rPr>
                <w:rFonts w:eastAsia="Times New Roman"/>
                <w:color w:val="000000"/>
                <w:szCs w:val="20"/>
              </w:rPr>
            </w:pPr>
            <w:r w:rsidRPr="00DB7FE4">
              <w:rPr>
                <w:rFonts w:eastAsia="Times New Roman"/>
                <w:color w:val="000000"/>
                <w:szCs w:val="20"/>
              </w:rPr>
              <w:t>1.0727</w:t>
            </w:r>
          </w:p>
        </w:tc>
        <w:tc>
          <w:tcPr>
            <w:tcW w:w="1005" w:type="dxa"/>
            <w:tcBorders>
              <w:top w:val="nil"/>
              <w:left w:val="nil"/>
              <w:bottom w:val="single" w:sz="4" w:space="0" w:color="auto"/>
              <w:right w:val="single" w:sz="4" w:space="0" w:color="auto"/>
            </w:tcBorders>
            <w:shd w:val="clear" w:color="auto" w:fill="auto"/>
            <w:noWrap/>
            <w:vAlign w:val="bottom"/>
            <w:hideMark/>
          </w:tcPr>
          <w:p w:rsidR="001C23CC" w:rsidRPr="00DB7FE4" w:rsidRDefault="001C23CC" w:rsidP="001A1397">
            <w:pPr>
              <w:rPr>
                <w:rFonts w:eastAsia="Times New Roman"/>
                <w:color w:val="000000"/>
                <w:szCs w:val="20"/>
              </w:rPr>
            </w:pPr>
            <w:r w:rsidRPr="00DB7FE4">
              <w:rPr>
                <w:rFonts w:eastAsia="Times New Roman"/>
                <w:color w:val="000000"/>
                <w:szCs w:val="20"/>
              </w:rPr>
              <w:t>-26.2%</w:t>
            </w:r>
          </w:p>
        </w:tc>
      </w:tr>
      <w:tr w:rsidR="001C23CC" w:rsidRPr="00DB7FE4" w:rsidTr="001C23CC">
        <w:trPr>
          <w:trHeight w:val="290"/>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1C23CC" w:rsidRPr="00DB7FE4" w:rsidRDefault="001C23CC" w:rsidP="001A1397">
            <w:pPr>
              <w:rPr>
                <w:rFonts w:eastAsia="Times New Roman"/>
                <w:color w:val="000000"/>
                <w:szCs w:val="20"/>
              </w:rPr>
            </w:pPr>
            <w:r w:rsidRPr="00DB7FE4">
              <w:rPr>
                <w:rFonts w:eastAsia="Times New Roman"/>
                <w:color w:val="000000"/>
                <w:szCs w:val="20"/>
              </w:rPr>
              <w:t>215</w:t>
            </w:r>
          </w:p>
        </w:tc>
        <w:tc>
          <w:tcPr>
            <w:tcW w:w="6150" w:type="dxa"/>
            <w:tcBorders>
              <w:top w:val="nil"/>
              <w:left w:val="nil"/>
              <w:bottom w:val="single" w:sz="4" w:space="0" w:color="auto"/>
              <w:right w:val="single" w:sz="4" w:space="0" w:color="auto"/>
            </w:tcBorders>
            <w:shd w:val="clear" w:color="auto" w:fill="auto"/>
            <w:noWrap/>
            <w:vAlign w:val="bottom"/>
            <w:hideMark/>
          </w:tcPr>
          <w:p w:rsidR="001C23CC" w:rsidRPr="00DB7FE4" w:rsidRDefault="001C23CC" w:rsidP="001A1397">
            <w:pPr>
              <w:rPr>
                <w:rFonts w:eastAsia="Times New Roman"/>
                <w:color w:val="000000"/>
                <w:szCs w:val="20"/>
              </w:rPr>
            </w:pPr>
            <w:r w:rsidRPr="00DB7FE4">
              <w:rPr>
                <w:rFonts w:eastAsia="Times New Roman"/>
                <w:color w:val="000000"/>
                <w:szCs w:val="20"/>
              </w:rPr>
              <w:t>OTHER HEART ASSIST SYSTEM IMPLANT</w:t>
            </w:r>
          </w:p>
        </w:tc>
        <w:tc>
          <w:tcPr>
            <w:tcW w:w="1245" w:type="dxa"/>
            <w:tcBorders>
              <w:top w:val="nil"/>
              <w:left w:val="nil"/>
              <w:bottom w:val="single" w:sz="4" w:space="0" w:color="auto"/>
              <w:right w:val="single" w:sz="4" w:space="0" w:color="auto"/>
            </w:tcBorders>
            <w:shd w:val="clear" w:color="auto" w:fill="auto"/>
            <w:noWrap/>
            <w:vAlign w:val="bottom"/>
            <w:hideMark/>
          </w:tcPr>
          <w:p w:rsidR="001C23CC" w:rsidRPr="00DB7FE4" w:rsidRDefault="001C23CC" w:rsidP="001A1397">
            <w:pPr>
              <w:rPr>
                <w:rFonts w:eastAsia="Times New Roman"/>
                <w:color w:val="000000"/>
                <w:szCs w:val="20"/>
              </w:rPr>
            </w:pPr>
            <w:r w:rsidRPr="00DB7FE4">
              <w:rPr>
                <w:rFonts w:eastAsia="Times New Roman"/>
                <w:color w:val="000000"/>
                <w:szCs w:val="20"/>
              </w:rPr>
              <w:t xml:space="preserve">        12.8861 </w:t>
            </w:r>
          </w:p>
        </w:tc>
        <w:tc>
          <w:tcPr>
            <w:tcW w:w="1072" w:type="dxa"/>
            <w:tcBorders>
              <w:top w:val="nil"/>
              <w:left w:val="nil"/>
              <w:bottom w:val="single" w:sz="4" w:space="0" w:color="auto"/>
              <w:right w:val="single" w:sz="4" w:space="0" w:color="auto"/>
            </w:tcBorders>
            <w:shd w:val="clear" w:color="auto" w:fill="auto"/>
            <w:noWrap/>
            <w:vAlign w:val="bottom"/>
            <w:hideMark/>
          </w:tcPr>
          <w:p w:rsidR="001C23CC" w:rsidRPr="00DB7FE4" w:rsidRDefault="001C23CC" w:rsidP="001A1397">
            <w:pPr>
              <w:rPr>
                <w:rFonts w:eastAsia="Times New Roman"/>
                <w:color w:val="000000"/>
                <w:szCs w:val="20"/>
              </w:rPr>
            </w:pPr>
            <w:r w:rsidRPr="00DB7FE4">
              <w:rPr>
                <w:rFonts w:eastAsia="Times New Roman"/>
                <w:color w:val="000000"/>
                <w:szCs w:val="20"/>
              </w:rPr>
              <w:t>9.6416</w:t>
            </w:r>
          </w:p>
        </w:tc>
        <w:tc>
          <w:tcPr>
            <w:tcW w:w="1005" w:type="dxa"/>
            <w:tcBorders>
              <w:top w:val="nil"/>
              <w:left w:val="nil"/>
              <w:bottom w:val="single" w:sz="4" w:space="0" w:color="auto"/>
              <w:right w:val="single" w:sz="4" w:space="0" w:color="auto"/>
            </w:tcBorders>
            <w:shd w:val="clear" w:color="auto" w:fill="auto"/>
            <w:noWrap/>
            <w:vAlign w:val="bottom"/>
            <w:hideMark/>
          </w:tcPr>
          <w:p w:rsidR="001C23CC" w:rsidRPr="00DB7FE4" w:rsidRDefault="001C23CC" w:rsidP="001A1397">
            <w:pPr>
              <w:rPr>
                <w:rFonts w:eastAsia="Times New Roman"/>
                <w:color w:val="000000"/>
                <w:szCs w:val="20"/>
              </w:rPr>
            </w:pPr>
            <w:r w:rsidRPr="00DB7FE4">
              <w:rPr>
                <w:rFonts w:eastAsia="Times New Roman"/>
                <w:color w:val="000000"/>
                <w:szCs w:val="20"/>
              </w:rPr>
              <w:t>-25.2%</w:t>
            </w:r>
          </w:p>
        </w:tc>
      </w:tr>
      <w:tr w:rsidR="001C23CC" w:rsidRPr="00DB7FE4" w:rsidTr="001C23CC">
        <w:trPr>
          <w:trHeight w:val="290"/>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1C23CC" w:rsidRPr="00DB7FE4" w:rsidRDefault="001C23CC" w:rsidP="001A1397">
            <w:pPr>
              <w:rPr>
                <w:rFonts w:eastAsia="Times New Roman"/>
                <w:color w:val="000000"/>
                <w:szCs w:val="20"/>
              </w:rPr>
            </w:pPr>
            <w:r w:rsidRPr="00DB7FE4">
              <w:rPr>
                <w:rFonts w:eastAsia="Times New Roman"/>
                <w:color w:val="000000"/>
                <w:szCs w:val="20"/>
              </w:rPr>
              <w:t>659</w:t>
            </w:r>
          </w:p>
        </w:tc>
        <w:tc>
          <w:tcPr>
            <w:tcW w:w="6150" w:type="dxa"/>
            <w:tcBorders>
              <w:top w:val="nil"/>
              <w:left w:val="nil"/>
              <w:bottom w:val="single" w:sz="4" w:space="0" w:color="auto"/>
              <w:right w:val="single" w:sz="4" w:space="0" w:color="auto"/>
            </w:tcBorders>
            <w:shd w:val="clear" w:color="auto" w:fill="auto"/>
            <w:noWrap/>
            <w:vAlign w:val="bottom"/>
            <w:hideMark/>
          </w:tcPr>
          <w:p w:rsidR="001C23CC" w:rsidRPr="00DB7FE4" w:rsidRDefault="001C23CC" w:rsidP="001A1397">
            <w:pPr>
              <w:rPr>
                <w:rFonts w:eastAsia="Times New Roman"/>
                <w:color w:val="000000"/>
                <w:szCs w:val="20"/>
              </w:rPr>
            </w:pPr>
            <w:r w:rsidRPr="00DB7FE4">
              <w:rPr>
                <w:rFonts w:eastAsia="Times New Roman"/>
                <w:color w:val="000000"/>
                <w:szCs w:val="20"/>
              </w:rPr>
              <w:t>KIDNEY &amp; URETER PROCEDURES FOR NON-NEOPLASM W MCC</w:t>
            </w:r>
          </w:p>
        </w:tc>
        <w:tc>
          <w:tcPr>
            <w:tcW w:w="1245" w:type="dxa"/>
            <w:tcBorders>
              <w:top w:val="nil"/>
              <w:left w:val="nil"/>
              <w:bottom w:val="single" w:sz="4" w:space="0" w:color="auto"/>
              <w:right w:val="single" w:sz="4" w:space="0" w:color="auto"/>
            </w:tcBorders>
            <w:shd w:val="clear" w:color="auto" w:fill="auto"/>
            <w:noWrap/>
            <w:vAlign w:val="bottom"/>
            <w:hideMark/>
          </w:tcPr>
          <w:p w:rsidR="001C23CC" w:rsidRPr="00DB7FE4" w:rsidRDefault="001C23CC" w:rsidP="001A1397">
            <w:pPr>
              <w:rPr>
                <w:rFonts w:eastAsia="Times New Roman"/>
                <w:color w:val="000000"/>
                <w:szCs w:val="20"/>
              </w:rPr>
            </w:pPr>
            <w:r w:rsidRPr="00DB7FE4">
              <w:rPr>
                <w:rFonts w:eastAsia="Times New Roman"/>
                <w:color w:val="000000"/>
                <w:szCs w:val="20"/>
              </w:rPr>
              <w:t xml:space="preserve">          3.4129 </w:t>
            </w:r>
          </w:p>
        </w:tc>
        <w:tc>
          <w:tcPr>
            <w:tcW w:w="1072" w:type="dxa"/>
            <w:tcBorders>
              <w:top w:val="nil"/>
              <w:left w:val="nil"/>
              <w:bottom w:val="single" w:sz="4" w:space="0" w:color="auto"/>
              <w:right w:val="single" w:sz="4" w:space="0" w:color="auto"/>
            </w:tcBorders>
            <w:shd w:val="clear" w:color="auto" w:fill="auto"/>
            <w:noWrap/>
            <w:vAlign w:val="bottom"/>
            <w:hideMark/>
          </w:tcPr>
          <w:p w:rsidR="001C23CC" w:rsidRPr="00DB7FE4" w:rsidRDefault="001C23CC" w:rsidP="001A1397">
            <w:pPr>
              <w:rPr>
                <w:rFonts w:eastAsia="Times New Roman"/>
                <w:color w:val="000000"/>
                <w:szCs w:val="20"/>
              </w:rPr>
            </w:pPr>
            <w:r w:rsidRPr="00DB7FE4">
              <w:rPr>
                <w:rFonts w:eastAsia="Times New Roman"/>
                <w:color w:val="000000"/>
                <w:szCs w:val="20"/>
              </w:rPr>
              <w:t>2.7051</w:t>
            </w:r>
          </w:p>
        </w:tc>
        <w:tc>
          <w:tcPr>
            <w:tcW w:w="1005" w:type="dxa"/>
            <w:tcBorders>
              <w:top w:val="nil"/>
              <w:left w:val="nil"/>
              <w:bottom w:val="single" w:sz="4" w:space="0" w:color="auto"/>
              <w:right w:val="single" w:sz="4" w:space="0" w:color="auto"/>
            </w:tcBorders>
            <w:shd w:val="clear" w:color="auto" w:fill="auto"/>
            <w:noWrap/>
            <w:vAlign w:val="bottom"/>
            <w:hideMark/>
          </w:tcPr>
          <w:p w:rsidR="001C23CC" w:rsidRPr="00DB7FE4" w:rsidRDefault="001C23CC" w:rsidP="001A1397">
            <w:pPr>
              <w:rPr>
                <w:rFonts w:eastAsia="Times New Roman"/>
                <w:color w:val="000000"/>
                <w:szCs w:val="20"/>
              </w:rPr>
            </w:pPr>
            <w:r w:rsidRPr="00DB7FE4">
              <w:rPr>
                <w:rFonts w:eastAsia="Times New Roman"/>
                <w:color w:val="000000"/>
                <w:szCs w:val="20"/>
              </w:rPr>
              <w:t>-20.7%</w:t>
            </w:r>
          </w:p>
        </w:tc>
      </w:tr>
    </w:tbl>
    <w:p w:rsidR="001C23CC" w:rsidRPr="00DB7FE4" w:rsidRDefault="001C23CC" w:rsidP="001A1397">
      <w:pPr>
        <w:rPr>
          <w:szCs w:val="20"/>
        </w:rPr>
      </w:pPr>
    </w:p>
    <w:p w:rsidR="00D97A5A" w:rsidRDefault="00502083" w:rsidP="001A1397">
      <w:pPr>
        <w:rPr>
          <w:b/>
          <w:szCs w:val="20"/>
        </w:rPr>
      </w:pPr>
      <w:r w:rsidRPr="00DB7FE4">
        <w:rPr>
          <w:szCs w:val="20"/>
        </w:rPr>
        <w:lastRenderedPageBreak/>
        <w:t xml:space="preserve">Hospitals that provide services assigned to </w:t>
      </w:r>
      <w:r w:rsidR="001C23CC" w:rsidRPr="00DB7FE4">
        <w:rPr>
          <w:szCs w:val="20"/>
        </w:rPr>
        <w:t xml:space="preserve">these </w:t>
      </w:r>
      <w:r w:rsidRPr="00DB7FE4">
        <w:rPr>
          <w:szCs w:val="20"/>
        </w:rPr>
        <w:t xml:space="preserve">MS-DRGs need time to </w:t>
      </w:r>
      <w:r w:rsidR="001C23CC" w:rsidRPr="00DB7FE4">
        <w:rPr>
          <w:szCs w:val="20"/>
        </w:rPr>
        <w:t xml:space="preserve">adjust their expenses given the significant payment cut. </w:t>
      </w:r>
      <w:r w:rsidR="007B5370" w:rsidRPr="00DB7FE4">
        <w:rPr>
          <w:szCs w:val="20"/>
        </w:rPr>
        <w:t>Th</w:t>
      </w:r>
      <w:r w:rsidR="001C1623" w:rsidRPr="00DB7FE4">
        <w:rPr>
          <w:szCs w:val="20"/>
        </w:rPr>
        <w:t>ese</w:t>
      </w:r>
      <w:r w:rsidR="000D68B7" w:rsidRPr="00DB7FE4">
        <w:rPr>
          <w:szCs w:val="20"/>
        </w:rPr>
        <w:t xml:space="preserve"> weight decrease</w:t>
      </w:r>
      <w:r w:rsidR="001C1623" w:rsidRPr="00DB7FE4">
        <w:rPr>
          <w:szCs w:val="20"/>
        </w:rPr>
        <w:t>s</w:t>
      </w:r>
      <w:r w:rsidR="000D68B7" w:rsidRPr="00DB7FE4">
        <w:rPr>
          <w:szCs w:val="20"/>
        </w:rPr>
        <w:t xml:space="preserve"> </w:t>
      </w:r>
      <w:r w:rsidR="007B5370" w:rsidRPr="00DB7FE4">
        <w:rPr>
          <w:szCs w:val="20"/>
        </w:rPr>
        <w:t xml:space="preserve">would have a significant negative </w:t>
      </w:r>
      <w:r w:rsidRPr="00DB7FE4">
        <w:rPr>
          <w:szCs w:val="20"/>
        </w:rPr>
        <w:t xml:space="preserve">financial </w:t>
      </w:r>
      <w:r w:rsidR="007B5370" w:rsidRPr="00DB7FE4">
        <w:rPr>
          <w:szCs w:val="20"/>
        </w:rPr>
        <w:t xml:space="preserve">impact on hospitals that provide care for patients </w:t>
      </w:r>
      <w:r w:rsidR="001C1623" w:rsidRPr="00DB7FE4">
        <w:rPr>
          <w:szCs w:val="20"/>
        </w:rPr>
        <w:t>assigned to these MS-DRGs</w:t>
      </w:r>
      <w:r w:rsidR="007B5370" w:rsidRPr="00DB7FE4">
        <w:rPr>
          <w:szCs w:val="20"/>
        </w:rPr>
        <w:t xml:space="preserve">. </w:t>
      </w:r>
      <w:r w:rsidR="007B5370" w:rsidRPr="00DB7FE4">
        <w:rPr>
          <w:b/>
          <w:szCs w:val="20"/>
        </w:rPr>
        <w:t xml:space="preserve">The MHA urges the CMS to phase-in substantial </w:t>
      </w:r>
      <w:r w:rsidRPr="00DB7FE4">
        <w:rPr>
          <w:b/>
          <w:szCs w:val="20"/>
        </w:rPr>
        <w:t>reductions of MS-DRG relative weights</w:t>
      </w:r>
      <w:r w:rsidR="001C1623" w:rsidRPr="00DB7FE4">
        <w:rPr>
          <w:b/>
          <w:szCs w:val="20"/>
        </w:rPr>
        <w:t xml:space="preserve"> to allow hospitals additional time to modify their operations</w:t>
      </w:r>
      <w:r w:rsidR="00321542" w:rsidRPr="00DB7FE4">
        <w:rPr>
          <w:b/>
          <w:szCs w:val="20"/>
        </w:rPr>
        <w:t xml:space="preserve"> to manage these significant payment cuts</w:t>
      </w:r>
      <w:r w:rsidR="007B5370" w:rsidRPr="00DB7FE4">
        <w:rPr>
          <w:b/>
          <w:szCs w:val="20"/>
        </w:rPr>
        <w:t xml:space="preserve">. </w:t>
      </w:r>
    </w:p>
    <w:p w:rsidR="00177838" w:rsidRPr="00DB7FE4" w:rsidRDefault="00177838" w:rsidP="001A1397">
      <w:pPr>
        <w:rPr>
          <w:b/>
          <w:szCs w:val="20"/>
        </w:rPr>
      </w:pPr>
    </w:p>
    <w:p w:rsidR="00131EBF" w:rsidRPr="00DB7FE4" w:rsidRDefault="00131EBF" w:rsidP="001A1397">
      <w:pPr>
        <w:autoSpaceDE w:val="0"/>
        <w:autoSpaceDN w:val="0"/>
        <w:adjustRightInd w:val="0"/>
        <w:rPr>
          <w:b/>
          <w:szCs w:val="20"/>
        </w:rPr>
      </w:pPr>
    </w:p>
    <w:p w:rsidR="009B1C95" w:rsidRDefault="009B1C95" w:rsidP="001A1397">
      <w:pPr>
        <w:autoSpaceDE w:val="0"/>
        <w:autoSpaceDN w:val="0"/>
        <w:adjustRightInd w:val="0"/>
        <w:rPr>
          <w:b/>
          <w:szCs w:val="20"/>
          <w:u w:val="single"/>
        </w:rPr>
      </w:pPr>
      <w:r w:rsidRPr="00DB7FE4">
        <w:rPr>
          <w:b/>
          <w:szCs w:val="20"/>
          <w:u w:val="single"/>
        </w:rPr>
        <w:t xml:space="preserve">LOW VOLUME </w:t>
      </w:r>
      <w:r w:rsidR="00DB7FE4">
        <w:rPr>
          <w:b/>
          <w:szCs w:val="20"/>
          <w:u w:val="single"/>
        </w:rPr>
        <w:t xml:space="preserve">PAYMENT </w:t>
      </w:r>
      <w:r w:rsidRPr="00DB7FE4">
        <w:rPr>
          <w:b/>
          <w:szCs w:val="20"/>
          <w:u w:val="single"/>
        </w:rPr>
        <w:t>ADJUSTMENT</w:t>
      </w:r>
    </w:p>
    <w:p w:rsidR="00DB7FE4" w:rsidRPr="00DB7FE4" w:rsidRDefault="00DB7FE4" w:rsidP="001A1397">
      <w:pPr>
        <w:autoSpaceDE w:val="0"/>
        <w:autoSpaceDN w:val="0"/>
        <w:adjustRightInd w:val="0"/>
        <w:rPr>
          <w:sz w:val="16"/>
          <w:szCs w:val="16"/>
          <w:u w:val="single"/>
        </w:rPr>
      </w:pPr>
      <w:r w:rsidRPr="00DB7FE4">
        <w:rPr>
          <w:sz w:val="16"/>
          <w:szCs w:val="16"/>
          <w:u w:val="single"/>
        </w:rPr>
        <w:t>(</w:t>
      </w:r>
      <w:r w:rsidRPr="00DB7FE4">
        <w:rPr>
          <w:i/>
          <w:sz w:val="16"/>
          <w:szCs w:val="16"/>
          <w:u w:val="single"/>
        </w:rPr>
        <w:t>Federal Register</w:t>
      </w:r>
      <w:r w:rsidRPr="00DB7FE4">
        <w:rPr>
          <w:sz w:val="16"/>
          <w:szCs w:val="16"/>
          <w:u w:val="single"/>
        </w:rPr>
        <w:t xml:space="preserve"> pages 20,384 – 20,</w:t>
      </w:r>
      <w:r w:rsidR="00100410">
        <w:rPr>
          <w:sz w:val="16"/>
          <w:szCs w:val="16"/>
          <w:u w:val="single"/>
        </w:rPr>
        <w:t>3</w:t>
      </w:r>
      <w:r w:rsidRPr="00DB7FE4">
        <w:rPr>
          <w:sz w:val="16"/>
          <w:szCs w:val="16"/>
          <w:u w:val="single"/>
        </w:rPr>
        <w:t>86)</w:t>
      </w:r>
    </w:p>
    <w:p w:rsidR="00DB7FE4" w:rsidRPr="00DB7FE4" w:rsidRDefault="00DB7FE4" w:rsidP="001A1397">
      <w:pPr>
        <w:autoSpaceDE w:val="0"/>
        <w:autoSpaceDN w:val="0"/>
        <w:adjustRightInd w:val="0"/>
        <w:rPr>
          <w:b/>
          <w:szCs w:val="20"/>
          <w:u w:val="single"/>
        </w:rPr>
      </w:pPr>
    </w:p>
    <w:p w:rsidR="008C7BB3" w:rsidRPr="00DB7FE4" w:rsidRDefault="007D1BF5" w:rsidP="001A1397">
      <w:pPr>
        <w:pStyle w:val="PlainText"/>
      </w:pPr>
      <w:r w:rsidRPr="00DB7FE4">
        <w:t xml:space="preserve">The recent Bipartisan Budget Act extended the low volume adjustment through FY 2022 and </w:t>
      </w:r>
      <w:r w:rsidR="008C7BB3" w:rsidRPr="00DB7FE4">
        <w:t>modified the adjustment f</w:t>
      </w:r>
      <w:r w:rsidRPr="00DB7FE4">
        <w:t>or FY 2019-2022</w:t>
      </w:r>
      <w:r w:rsidR="008C7BB3" w:rsidRPr="00DB7FE4">
        <w:t xml:space="preserve"> to require that hospitals have less than 3,800 total discharges rather than 1,600 Medicare discharges required for the FY 2011-2018 payment adjustment</w:t>
      </w:r>
      <w:r w:rsidRPr="00DB7FE4">
        <w:t>.</w:t>
      </w:r>
      <w:r w:rsidR="008C7BB3" w:rsidRPr="00DB7FE4">
        <w:t xml:space="preserve"> </w:t>
      </w:r>
      <w:r w:rsidR="009B501E" w:rsidRPr="00DB7FE4">
        <w:t xml:space="preserve">On </w:t>
      </w:r>
      <w:r w:rsidR="00D601D1" w:rsidRPr="00DB7FE4">
        <w:rPr>
          <w:i/>
        </w:rPr>
        <w:t>Federal Register</w:t>
      </w:r>
      <w:r w:rsidR="00D601D1" w:rsidRPr="00DB7FE4">
        <w:t xml:space="preserve"> page 20</w:t>
      </w:r>
      <w:r w:rsidR="008B6439">
        <w:t>,</w:t>
      </w:r>
      <w:r w:rsidR="00D601D1" w:rsidRPr="00DB7FE4">
        <w:t>385, t</w:t>
      </w:r>
      <w:r w:rsidR="008C7BB3" w:rsidRPr="00DB7FE4">
        <w:t xml:space="preserve">he CMS indicated that the new payment formula </w:t>
      </w:r>
      <w:r w:rsidR="00D601D1" w:rsidRPr="00DB7FE4">
        <w:t xml:space="preserve">for FY 2019 </w:t>
      </w:r>
      <w:r w:rsidR="008C7BB3" w:rsidRPr="00DB7FE4">
        <w:t xml:space="preserve">for hospitals with between 500 and 3,800 total discharges will be: </w:t>
      </w:r>
    </w:p>
    <w:p w:rsidR="008C7BB3" w:rsidRPr="00DB7FE4" w:rsidRDefault="008C7BB3" w:rsidP="001A1397">
      <w:pPr>
        <w:pStyle w:val="PlainText"/>
      </w:pPr>
    </w:p>
    <w:p w:rsidR="008C7BB3" w:rsidRPr="00DB7FE4" w:rsidRDefault="008C7BB3" w:rsidP="001A1397">
      <w:pPr>
        <w:pStyle w:val="PlainText"/>
        <w:rPr>
          <w:b/>
          <w:i/>
        </w:rPr>
      </w:pPr>
      <w:r w:rsidRPr="00DB7FE4">
        <w:rPr>
          <w:b/>
          <w:i/>
        </w:rPr>
        <w:t xml:space="preserve">Low-Volume Hospital Payment Adjustment = 95/330 </w:t>
      </w:r>
      <w:r w:rsidRPr="00DB7FE4">
        <w:rPr>
          <w:b/>
          <w:i/>
          <w:highlight w:val="yellow"/>
        </w:rPr>
        <w:t>*</w:t>
      </w:r>
      <w:r w:rsidRPr="00DB7FE4">
        <w:rPr>
          <w:b/>
          <w:i/>
        </w:rPr>
        <w:t xml:space="preserve"> Total Discharges/13,200</w:t>
      </w:r>
    </w:p>
    <w:p w:rsidR="008C7BB3" w:rsidRPr="00DB7FE4" w:rsidRDefault="008C7BB3" w:rsidP="001A1397">
      <w:pPr>
        <w:pStyle w:val="PlainText"/>
        <w:rPr>
          <w:i/>
        </w:rPr>
      </w:pPr>
    </w:p>
    <w:p w:rsidR="008C7BB3" w:rsidRPr="00DB7FE4" w:rsidRDefault="008C7BB3" w:rsidP="001A1397">
      <w:pPr>
        <w:pStyle w:val="PlainText"/>
      </w:pPr>
      <w:r w:rsidRPr="00DB7FE4">
        <w:t xml:space="preserve">Review of this formula indicates an error </w:t>
      </w:r>
      <w:r w:rsidR="000B37E0" w:rsidRPr="00DB7FE4">
        <w:t xml:space="preserve">in the sign reflected </w:t>
      </w:r>
      <w:r w:rsidR="00D601D1" w:rsidRPr="00DB7FE4">
        <w:t>and</w:t>
      </w:r>
      <w:r w:rsidRPr="00DB7FE4">
        <w:t xml:space="preserve"> that the correct formula should be: </w:t>
      </w:r>
    </w:p>
    <w:p w:rsidR="008C7BB3" w:rsidRPr="00DB7FE4" w:rsidRDefault="008C7BB3" w:rsidP="001A1397">
      <w:pPr>
        <w:pStyle w:val="PlainText"/>
        <w:ind w:firstLine="720"/>
        <w:rPr>
          <w:b/>
          <w:i/>
        </w:rPr>
      </w:pPr>
      <w:r w:rsidRPr="00DB7FE4">
        <w:rPr>
          <w:b/>
          <w:i/>
        </w:rPr>
        <w:t xml:space="preserve"> 95/330 </w:t>
      </w:r>
      <w:r w:rsidR="00482C59" w:rsidRPr="00DB7FE4">
        <w:rPr>
          <w:b/>
          <w:i/>
        </w:rPr>
        <w:t>minus (-)</w:t>
      </w:r>
      <w:r w:rsidRPr="00DB7FE4">
        <w:rPr>
          <w:b/>
          <w:i/>
        </w:rPr>
        <w:t xml:space="preserve"> Total Discharges/13,200</w:t>
      </w:r>
    </w:p>
    <w:p w:rsidR="008C7BB3" w:rsidRPr="00DB7FE4" w:rsidRDefault="008C7BB3" w:rsidP="001A1397">
      <w:pPr>
        <w:pStyle w:val="PlainText"/>
      </w:pPr>
    </w:p>
    <w:p w:rsidR="008B6439" w:rsidRDefault="008C7BB3" w:rsidP="001A1397">
      <w:pPr>
        <w:pStyle w:val="PlainText"/>
        <w:rPr>
          <w:b/>
        </w:rPr>
      </w:pPr>
      <w:r w:rsidRPr="00DB7FE4">
        <w:rPr>
          <w:b/>
        </w:rPr>
        <w:t>The MHA urges the CMS to correct this formula in the final rule.</w:t>
      </w:r>
    </w:p>
    <w:p w:rsidR="008B6439" w:rsidRDefault="008B6439" w:rsidP="001A1397">
      <w:pPr>
        <w:pStyle w:val="PlainText"/>
        <w:rPr>
          <w:b/>
        </w:rPr>
      </w:pPr>
    </w:p>
    <w:p w:rsidR="008C7BB3" w:rsidRPr="00DB7FE4" w:rsidRDefault="00100410" w:rsidP="001A1397">
      <w:pPr>
        <w:pStyle w:val="PlainText"/>
        <w:rPr>
          <w:b/>
        </w:rPr>
      </w:pPr>
      <w:r>
        <w:t>As a result of t</w:t>
      </w:r>
      <w:r w:rsidR="008B6439" w:rsidRPr="0053195F">
        <w:t xml:space="preserve">he Bipartisan Budget Act, the </w:t>
      </w:r>
      <w:r w:rsidR="0053195F" w:rsidRPr="0053195F">
        <w:t>low-volume adjustment is retroactive to Oct. 1, 2017.</w:t>
      </w:r>
      <w:r w:rsidR="0053195F">
        <w:rPr>
          <w:b/>
        </w:rPr>
        <w:t xml:space="preserve"> The </w:t>
      </w:r>
      <w:r w:rsidR="008B6439">
        <w:rPr>
          <w:b/>
        </w:rPr>
        <w:t xml:space="preserve">MHA urges the CMS to provide instructions to the Medicare Administrative Contractors for making the </w:t>
      </w:r>
      <w:r w:rsidR="0053195F">
        <w:rPr>
          <w:b/>
        </w:rPr>
        <w:t xml:space="preserve">retroactive </w:t>
      </w:r>
      <w:r w:rsidR="008B6439">
        <w:rPr>
          <w:b/>
        </w:rPr>
        <w:t xml:space="preserve">low volume adjustment for FY 2018 as soon as possible since the agency has not provided instructions as of June 8. </w:t>
      </w:r>
    </w:p>
    <w:p w:rsidR="001E3F7A" w:rsidRPr="00DB7FE4" w:rsidRDefault="008C7BB3" w:rsidP="001A1397">
      <w:pPr>
        <w:pStyle w:val="PlainText"/>
      </w:pPr>
      <w:r w:rsidRPr="00DB7FE4">
        <w:t xml:space="preserve"> </w:t>
      </w:r>
      <w:r w:rsidR="007D1BF5" w:rsidRPr="00DB7FE4">
        <w:t xml:space="preserve"> </w:t>
      </w:r>
    </w:p>
    <w:p w:rsidR="00F06CE1" w:rsidRDefault="00F06CE1" w:rsidP="00F06CE1">
      <w:pPr>
        <w:autoSpaceDE w:val="0"/>
        <w:autoSpaceDN w:val="0"/>
        <w:adjustRightInd w:val="0"/>
        <w:rPr>
          <w:b/>
          <w:color w:val="000000"/>
          <w:szCs w:val="20"/>
          <w:u w:val="single"/>
        </w:rPr>
      </w:pPr>
      <w:r w:rsidRPr="00DB7FE4">
        <w:rPr>
          <w:b/>
          <w:color w:val="000000"/>
          <w:szCs w:val="20"/>
          <w:u w:val="single"/>
        </w:rPr>
        <w:t>Worksheet S-10 Data for Allocating Uncompensated Care Pool Payments</w:t>
      </w:r>
    </w:p>
    <w:p w:rsidR="0053195F" w:rsidRPr="0053195F" w:rsidRDefault="0053195F" w:rsidP="00F06CE1">
      <w:pPr>
        <w:autoSpaceDE w:val="0"/>
        <w:autoSpaceDN w:val="0"/>
        <w:adjustRightInd w:val="0"/>
        <w:rPr>
          <w:color w:val="000000"/>
          <w:sz w:val="16"/>
          <w:szCs w:val="16"/>
          <w:u w:val="single"/>
        </w:rPr>
      </w:pPr>
      <w:r w:rsidRPr="0053195F">
        <w:rPr>
          <w:color w:val="000000"/>
          <w:sz w:val="16"/>
          <w:szCs w:val="16"/>
          <w:u w:val="single"/>
        </w:rPr>
        <w:t>(</w:t>
      </w:r>
      <w:r w:rsidRPr="0053195F">
        <w:rPr>
          <w:i/>
          <w:color w:val="000000"/>
          <w:sz w:val="16"/>
          <w:szCs w:val="16"/>
          <w:u w:val="single"/>
        </w:rPr>
        <w:t>Federal Register</w:t>
      </w:r>
      <w:r w:rsidRPr="0053195F">
        <w:rPr>
          <w:color w:val="000000"/>
          <w:sz w:val="16"/>
          <w:szCs w:val="16"/>
          <w:u w:val="single"/>
        </w:rPr>
        <w:t xml:space="preserve"> pages 20,386 – 20,401) </w:t>
      </w:r>
    </w:p>
    <w:p w:rsidR="00F06CE1" w:rsidRPr="00DB7FE4" w:rsidRDefault="00F06CE1" w:rsidP="00F06CE1">
      <w:pPr>
        <w:autoSpaceDE w:val="0"/>
        <w:autoSpaceDN w:val="0"/>
        <w:adjustRightInd w:val="0"/>
        <w:rPr>
          <w:b/>
          <w:color w:val="000000"/>
          <w:szCs w:val="20"/>
        </w:rPr>
      </w:pPr>
    </w:p>
    <w:p w:rsidR="00F06CE1" w:rsidRPr="00DB7FE4" w:rsidRDefault="00F06CE1" w:rsidP="00F06CE1">
      <w:pPr>
        <w:autoSpaceDE w:val="0"/>
        <w:autoSpaceDN w:val="0"/>
        <w:adjustRightInd w:val="0"/>
        <w:rPr>
          <w:color w:val="000000"/>
          <w:szCs w:val="20"/>
        </w:rPr>
      </w:pPr>
      <w:r w:rsidRPr="00DB7FE4">
        <w:rPr>
          <w:color w:val="000000"/>
          <w:szCs w:val="20"/>
        </w:rPr>
        <w:t>The CMS proposes to proceed with year two of the three-year transition to use data reported on worksheet S-10 of the Medicare cost report for allocating payments from the uncompensated care pool, which totals $</w:t>
      </w:r>
      <w:r w:rsidR="00756C00">
        <w:rPr>
          <w:color w:val="000000"/>
          <w:szCs w:val="20"/>
        </w:rPr>
        <w:t>8</w:t>
      </w:r>
      <w:r w:rsidR="00871AF1">
        <w:rPr>
          <w:color w:val="000000"/>
          <w:szCs w:val="20"/>
        </w:rPr>
        <w:t>.25</w:t>
      </w:r>
      <w:r w:rsidRPr="00DB7FE4">
        <w:rPr>
          <w:color w:val="000000"/>
          <w:szCs w:val="20"/>
        </w:rPr>
        <w:t xml:space="preserve"> billion for FY 2019. These payments get allocated to approximately 2,500 hospitals nationally based on data reported on Medicare cost report worksheet S-10, specifically Line 30, Cost of Non-Medicare Uncompensated Care comprised of:</w:t>
      </w:r>
    </w:p>
    <w:p w:rsidR="00F06CE1" w:rsidRPr="00DB7FE4" w:rsidRDefault="00F06CE1" w:rsidP="00F06CE1">
      <w:pPr>
        <w:autoSpaceDE w:val="0"/>
        <w:autoSpaceDN w:val="0"/>
        <w:adjustRightInd w:val="0"/>
        <w:rPr>
          <w:color w:val="000000"/>
          <w:szCs w:val="20"/>
        </w:rPr>
      </w:pPr>
    </w:p>
    <w:p w:rsidR="00F06CE1" w:rsidRPr="000114D9" w:rsidRDefault="00F06CE1" w:rsidP="00CE736B">
      <w:pPr>
        <w:pStyle w:val="ListParagraph"/>
        <w:numPr>
          <w:ilvl w:val="1"/>
          <w:numId w:val="17"/>
        </w:numPr>
        <w:autoSpaceDE w:val="0"/>
        <w:autoSpaceDN w:val="0"/>
        <w:adjustRightInd w:val="0"/>
        <w:rPr>
          <w:rFonts w:ascii="Arial" w:hAnsi="Arial" w:cs="Arial"/>
          <w:color w:val="000000"/>
          <w:sz w:val="20"/>
          <w:szCs w:val="20"/>
        </w:rPr>
      </w:pPr>
      <w:r w:rsidRPr="000114D9">
        <w:rPr>
          <w:rFonts w:ascii="Arial" w:hAnsi="Arial" w:cs="Arial"/>
          <w:color w:val="000000"/>
          <w:sz w:val="20"/>
          <w:szCs w:val="20"/>
        </w:rPr>
        <w:t>Line 23 – Cost of Charity Care</w:t>
      </w:r>
    </w:p>
    <w:p w:rsidR="00F06CE1" w:rsidRPr="000114D9" w:rsidRDefault="00F06CE1" w:rsidP="00CE736B">
      <w:pPr>
        <w:pStyle w:val="ListParagraph"/>
        <w:numPr>
          <w:ilvl w:val="1"/>
          <w:numId w:val="17"/>
        </w:numPr>
        <w:autoSpaceDE w:val="0"/>
        <w:autoSpaceDN w:val="0"/>
        <w:adjustRightInd w:val="0"/>
        <w:rPr>
          <w:rFonts w:ascii="Arial" w:hAnsi="Arial" w:cs="Arial"/>
          <w:color w:val="000000"/>
          <w:sz w:val="20"/>
          <w:szCs w:val="20"/>
        </w:rPr>
      </w:pPr>
      <w:r w:rsidRPr="000114D9">
        <w:rPr>
          <w:rFonts w:ascii="Arial" w:hAnsi="Arial" w:cs="Arial"/>
          <w:color w:val="000000"/>
          <w:sz w:val="20"/>
          <w:szCs w:val="20"/>
        </w:rPr>
        <w:t>Line 29 – Cost of Non-Medicare Bad Debt Expense</w:t>
      </w:r>
    </w:p>
    <w:p w:rsidR="00F06CE1" w:rsidRPr="00DB7FE4" w:rsidRDefault="00F06CE1" w:rsidP="00F06CE1">
      <w:pPr>
        <w:autoSpaceDE w:val="0"/>
        <w:autoSpaceDN w:val="0"/>
        <w:adjustRightInd w:val="0"/>
        <w:rPr>
          <w:color w:val="000000"/>
          <w:szCs w:val="20"/>
        </w:rPr>
      </w:pPr>
    </w:p>
    <w:p w:rsidR="00F06CE1" w:rsidRPr="00DB7FE4" w:rsidRDefault="00F06CE1" w:rsidP="00F06CE1">
      <w:pPr>
        <w:autoSpaceDE w:val="0"/>
        <w:autoSpaceDN w:val="0"/>
        <w:adjustRightInd w:val="0"/>
        <w:rPr>
          <w:color w:val="000000"/>
          <w:szCs w:val="20"/>
        </w:rPr>
      </w:pPr>
      <w:r w:rsidRPr="00DB7FE4">
        <w:rPr>
          <w:color w:val="000000"/>
          <w:szCs w:val="20"/>
        </w:rPr>
        <w:t>As indicated in our comments regarding the FY 2018 proposed rule, we have concerns regarding the integrity of the data reported</w:t>
      </w:r>
      <w:r w:rsidR="00CE736B">
        <w:rPr>
          <w:color w:val="000000"/>
          <w:szCs w:val="20"/>
        </w:rPr>
        <w:t xml:space="preserve"> on Worksheet S-10</w:t>
      </w:r>
      <w:r w:rsidRPr="00DB7FE4">
        <w:rPr>
          <w:color w:val="000000"/>
          <w:szCs w:val="20"/>
        </w:rPr>
        <w:t>. We appreciate that the CMS provided hospitals with an opportunity to revise data reported on FY 2014 and 2015 cost report</w:t>
      </w:r>
      <w:r w:rsidR="00CE736B">
        <w:rPr>
          <w:color w:val="000000"/>
          <w:szCs w:val="20"/>
        </w:rPr>
        <w:t>s</w:t>
      </w:r>
      <w:r w:rsidRPr="00DB7FE4">
        <w:rPr>
          <w:color w:val="000000"/>
          <w:szCs w:val="20"/>
        </w:rPr>
        <w:t xml:space="preserve"> </w:t>
      </w:r>
      <w:r w:rsidR="00E837E3">
        <w:rPr>
          <w:color w:val="000000"/>
          <w:szCs w:val="20"/>
        </w:rPr>
        <w:t xml:space="preserve">during the period September 2017 through Jan. 2, 2018, </w:t>
      </w:r>
      <w:r w:rsidRPr="00DB7FE4">
        <w:rPr>
          <w:color w:val="000000"/>
          <w:szCs w:val="20"/>
        </w:rPr>
        <w:t xml:space="preserve">but a review indicates that </w:t>
      </w:r>
      <w:r w:rsidR="00E837E3">
        <w:rPr>
          <w:color w:val="000000"/>
          <w:szCs w:val="20"/>
        </w:rPr>
        <w:t>only roughly</w:t>
      </w:r>
      <w:r w:rsidRPr="00DB7FE4">
        <w:rPr>
          <w:color w:val="000000"/>
          <w:szCs w:val="20"/>
        </w:rPr>
        <w:t xml:space="preserve"> </w:t>
      </w:r>
      <w:r w:rsidRPr="0053195F">
        <w:rPr>
          <w:color w:val="000000"/>
          <w:szCs w:val="20"/>
        </w:rPr>
        <w:t>60 percent of hospitals nationally revised their FY 2014 cost reports while approximately 67 percent revised their FY</w:t>
      </w:r>
      <w:r w:rsidRPr="00DB7FE4">
        <w:rPr>
          <w:color w:val="000000"/>
          <w:szCs w:val="20"/>
        </w:rPr>
        <w:t xml:space="preserve"> 2015 cost reports. The CMS proposes to use data from the FY 2014 and FY 2015 worksheet S-10 to allocate the FY 2019 UCC payments.  </w:t>
      </w:r>
    </w:p>
    <w:p w:rsidR="00F06CE1" w:rsidRPr="00DB7FE4" w:rsidRDefault="00F06CE1" w:rsidP="00F06CE1">
      <w:pPr>
        <w:autoSpaceDE w:val="0"/>
        <w:autoSpaceDN w:val="0"/>
        <w:adjustRightInd w:val="0"/>
        <w:rPr>
          <w:color w:val="000000"/>
          <w:szCs w:val="20"/>
        </w:rPr>
      </w:pPr>
    </w:p>
    <w:p w:rsidR="00F06CE1" w:rsidRPr="00DB7FE4" w:rsidRDefault="00F06CE1" w:rsidP="00F06CE1">
      <w:pPr>
        <w:autoSpaceDE w:val="0"/>
        <w:autoSpaceDN w:val="0"/>
        <w:adjustRightInd w:val="0"/>
        <w:rPr>
          <w:color w:val="000000"/>
          <w:szCs w:val="20"/>
        </w:rPr>
      </w:pPr>
      <w:r w:rsidRPr="00DB7FE4">
        <w:rPr>
          <w:color w:val="000000"/>
          <w:szCs w:val="20"/>
        </w:rPr>
        <w:t xml:space="preserve">A key change </w:t>
      </w:r>
      <w:r w:rsidR="00E837E3">
        <w:rPr>
          <w:color w:val="000000"/>
          <w:szCs w:val="20"/>
        </w:rPr>
        <w:t xml:space="preserve">since release of the FY 2018 final rule </w:t>
      </w:r>
      <w:r w:rsidRPr="00DB7FE4">
        <w:rPr>
          <w:color w:val="000000"/>
          <w:szCs w:val="20"/>
        </w:rPr>
        <w:t xml:space="preserve">was the release of </w:t>
      </w:r>
      <w:r w:rsidR="00E837E3">
        <w:rPr>
          <w:color w:val="000000"/>
          <w:szCs w:val="20"/>
        </w:rPr>
        <w:t xml:space="preserve">cost report </w:t>
      </w:r>
      <w:r w:rsidRPr="00DB7FE4">
        <w:rPr>
          <w:color w:val="000000"/>
          <w:szCs w:val="20"/>
        </w:rPr>
        <w:t xml:space="preserve">Transmittal 11 by the CMS in September 2017, after hospitals had filed </w:t>
      </w:r>
      <w:r w:rsidR="00E837E3">
        <w:rPr>
          <w:color w:val="000000"/>
          <w:szCs w:val="20"/>
        </w:rPr>
        <w:t xml:space="preserve">their initial </w:t>
      </w:r>
      <w:r w:rsidRPr="00DB7FE4">
        <w:rPr>
          <w:color w:val="000000"/>
          <w:szCs w:val="20"/>
        </w:rPr>
        <w:t>FY 2014 and FY 2015 cost reports</w:t>
      </w:r>
      <w:r w:rsidR="00E837E3">
        <w:rPr>
          <w:color w:val="000000"/>
          <w:szCs w:val="20"/>
        </w:rPr>
        <w:t xml:space="preserve"> and after some </w:t>
      </w:r>
      <w:r w:rsidR="00F45936">
        <w:rPr>
          <w:color w:val="000000"/>
          <w:szCs w:val="20"/>
        </w:rPr>
        <w:t xml:space="preserve">hospital </w:t>
      </w:r>
      <w:r w:rsidR="00E837E3">
        <w:rPr>
          <w:color w:val="000000"/>
          <w:szCs w:val="20"/>
        </w:rPr>
        <w:t>had filed amended cost reports</w:t>
      </w:r>
      <w:r w:rsidR="00F45936">
        <w:rPr>
          <w:color w:val="000000"/>
          <w:szCs w:val="20"/>
        </w:rPr>
        <w:t xml:space="preserve"> to update S-10 data</w:t>
      </w:r>
      <w:r w:rsidRPr="00DB7FE4">
        <w:rPr>
          <w:color w:val="000000"/>
          <w:szCs w:val="20"/>
        </w:rPr>
        <w:t xml:space="preserve">. This transmittal includes a significant change in that Charity </w:t>
      </w:r>
      <w:r w:rsidR="00F25D8B">
        <w:rPr>
          <w:color w:val="000000"/>
          <w:szCs w:val="20"/>
        </w:rPr>
        <w:t xml:space="preserve">Care </w:t>
      </w:r>
      <w:r w:rsidRPr="00DB7FE4">
        <w:rPr>
          <w:color w:val="000000"/>
          <w:szCs w:val="20"/>
        </w:rPr>
        <w:t xml:space="preserve">coinsurance and deductibles reported on line 20 column 2 (Insured Patients) are no longer converted to cost using the hospital’s cost-to-charge ratio. Previously, under Transmittal 10, these amounts were converted to cost on Worksheet S-10. </w:t>
      </w:r>
      <w:r w:rsidR="00E837E3">
        <w:rPr>
          <w:color w:val="000000"/>
          <w:szCs w:val="20"/>
        </w:rPr>
        <w:t>We believe that this change is creating a significant inconsistency in the data reported on line 20, column 2. Due to these major inconsiste</w:t>
      </w:r>
      <w:r w:rsidRPr="00DB7FE4">
        <w:rPr>
          <w:color w:val="000000"/>
          <w:szCs w:val="20"/>
        </w:rPr>
        <w:t>ncies in reporting among hospitals</w:t>
      </w:r>
      <w:r w:rsidR="00E837E3">
        <w:rPr>
          <w:color w:val="000000"/>
          <w:szCs w:val="20"/>
        </w:rPr>
        <w:t>, we</w:t>
      </w:r>
      <w:r w:rsidRPr="00DB7FE4">
        <w:rPr>
          <w:color w:val="000000"/>
          <w:szCs w:val="20"/>
        </w:rPr>
        <w:t xml:space="preserve"> urge the CMS to delay moving forward with the transition</w:t>
      </w:r>
      <w:r w:rsidR="00FE43A8">
        <w:rPr>
          <w:color w:val="000000"/>
          <w:szCs w:val="20"/>
        </w:rPr>
        <w:t>.</w:t>
      </w:r>
      <w:r w:rsidRPr="00DB7FE4">
        <w:rPr>
          <w:color w:val="000000"/>
          <w:szCs w:val="20"/>
        </w:rPr>
        <w:t xml:space="preserve"> Instead, </w:t>
      </w:r>
      <w:r w:rsidRPr="00DB7FE4">
        <w:rPr>
          <w:b/>
          <w:color w:val="000000"/>
          <w:szCs w:val="20"/>
        </w:rPr>
        <w:t xml:space="preserve">we </w:t>
      </w:r>
      <w:r w:rsidRPr="00DB7FE4">
        <w:rPr>
          <w:b/>
          <w:color w:val="000000"/>
          <w:szCs w:val="20"/>
        </w:rPr>
        <w:lastRenderedPageBreak/>
        <w:t xml:space="preserve">encourage the CMS to continue using one year of worksheet S-10 data and two years of “proxy” data as it used for the FY 2018 UCC payment allocations. We urge the CMS to continue working with the Medicare Administrative Contractors </w:t>
      </w:r>
      <w:r w:rsidR="00F45936">
        <w:rPr>
          <w:b/>
          <w:color w:val="000000"/>
          <w:szCs w:val="20"/>
        </w:rPr>
        <w:t xml:space="preserve">(MACs) </w:t>
      </w:r>
      <w:r w:rsidRPr="00DB7FE4">
        <w:rPr>
          <w:b/>
          <w:color w:val="000000"/>
          <w:szCs w:val="20"/>
        </w:rPr>
        <w:t>and hospitals to develop clear and concise instructions for completing Worksheet S-10 data to help ensure consistency among hospitals.</w:t>
      </w:r>
      <w:r w:rsidRPr="00DB7FE4">
        <w:rPr>
          <w:color w:val="000000"/>
          <w:szCs w:val="20"/>
        </w:rPr>
        <w:t xml:space="preserve"> </w:t>
      </w:r>
      <w:r w:rsidR="00E464F3">
        <w:rPr>
          <w:color w:val="000000"/>
          <w:szCs w:val="20"/>
        </w:rPr>
        <w:t xml:space="preserve">The CMS should delay </w:t>
      </w:r>
      <w:r w:rsidR="00E837E3">
        <w:rPr>
          <w:color w:val="000000"/>
          <w:szCs w:val="20"/>
        </w:rPr>
        <w:t>the transition to</w:t>
      </w:r>
      <w:r w:rsidR="00E464F3">
        <w:rPr>
          <w:color w:val="000000"/>
          <w:szCs w:val="20"/>
        </w:rPr>
        <w:t xml:space="preserve"> Worksheet S-10 data until all relevant data has been audited to ensure </w:t>
      </w:r>
      <w:r w:rsidR="00093D49">
        <w:rPr>
          <w:color w:val="000000"/>
          <w:szCs w:val="20"/>
        </w:rPr>
        <w:t xml:space="preserve">that data for all hospitals is consistently reported. </w:t>
      </w:r>
      <w:r w:rsidRPr="00DB7FE4">
        <w:rPr>
          <w:color w:val="000000"/>
          <w:szCs w:val="20"/>
        </w:rPr>
        <w:t xml:space="preserve">It is inappropriate for CMS to use </w:t>
      </w:r>
      <w:r w:rsidR="00093D49">
        <w:rPr>
          <w:color w:val="000000"/>
          <w:szCs w:val="20"/>
        </w:rPr>
        <w:t xml:space="preserve">what we believe to be </w:t>
      </w:r>
      <w:r w:rsidRPr="00DB7FE4">
        <w:rPr>
          <w:color w:val="000000"/>
          <w:szCs w:val="20"/>
        </w:rPr>
        <w:t>flawed data to distribute $</w:t>
      </w:r>
      <w:r w:rsidR="00871AF1">
        <w:rPr>
          <w:color w:val="000000"/>
          <w:szCs w:val="20"/>
        </w:rPr>
        <w:t>8</w:t>
      </w:r>
      <w:r w:rsidRPr="00DB7FE4">
        <w:rPr>
          <w:color w:val="000000"/>
          <w:szCs w:val="20"/>
        </w:rPr>
        <w:t>.25 billion among hospitals.</w:t>
      </w:r>
      <w:r w:rsidR="00E837E3">
        <w:rPr>
          <w:color w:val="000000"/>
          <w:szCs w:val="20"/>
        </w:rPr>
        <w:t xml:space="preserve"> In addition, </w:t>
      </w:r>
      <w:r w:rsidR="00E837E3" w:rsidRPr="00E837E3">
        <w:rPr>
          <w:b/>
          <w:color w:val="000000"/>
          <w:szCs w:val="20"/>
        </w:rPr>
        <w:t>we urge the CMS to give hospitals an</w:t>
      </w:r>
      <w:r w:rsidR="00E837E3">
        <w:rPr>
          <w:b/>
          <w:color w:val="000000"/>
          <w:szCs w:val="20"/>
        </w:rPr>
        <w:t xml:space="preserve"> additional </w:t>
      </w:r>
      <w:r w:rsidR="00E837E3" w:rsidRPr="00E837E3">
        <w:rPr>
          <w:b/>
          <w:color w:val="000000"/>
          <w:szCs w:val="20"/>
        </w:rPr>
        <w:t>opportunity to amend data reported on worksheet S-10</w:t>
      </w:r>
      <w:r w:rsidR="00E837E3">
        <w:rPr>
          <w:b/>
          <w:color w:val="000000"/>
          <w:szCs w:val="20"/>
        </w:rPr>
        <w:t xml:space="preserve"> </w:t>
      </w:r>
      <w:r w:rsidR="000F7472">
        <w:rPr>
          <w:b/>
          <w:color w:val="000000"/>
          <w:szCs w:val="20"/>
        </w:rPr>
        <w:t xml:space="preserve">of FY 2014, 2015 an d2016 cost reports, </w:t>
      </w:r>
      <w:r w:rsidR="00E837E3">
        <w:rPr>
          <w:b/>
          <w:color w:val="000000"/>
          <w:szCs w:val="20"/>
        </w:rPr>
        <w:t>prior to proceeding with the transition</w:t>
      </w:r>
      <w:r w:rsidR="00E837E3" w:rsidRPr="00E837E3">
        <w:rPr>
          <w:b/>
          <w:color w:val="000000"/>
          <w:szCs w:val="20"/>
        </w:rPr>
        <w:t>.</w:t>
      </w:r>
      <w:r w:rsidR="00E837E3">
        <w:rPr>
          <w:b/>
          <w:color w:val="000000"/>
          <w:szCs w:val="20"/>
        </w:rPr>
        <w:t xml:space="preserve"> </w:t>
      </w:r>
      <w:r w:rsidR="00E837E3" w:rsidRPr="00E837E3">
        <w:rPr>
          <w:color w:val="000000"/>
          <w:szCs w:val="20"/>
        </w:rPr>
        <w:t xml:space="preserve">We believe it is </w:t>
      </w:r>
      <w:r w:rsidR="00E837E3">
        <w:rPr>
          <w:color w:val="000000"/>
          <w:szCs w:val="20"/>
        </w:rPr>
        <w:t>critical</w:t>
      </w:r>
      <w:r w:rsidR="00E837E3" w:rsidRPr="00E837E3">
        <w:rPr>
          <w:color w:val="000000"/>
          <w:szCs w:val="20"/>
        </w:rPr>
        <w:t xml:space="preserve"> that hospitals are aware of the </w:t>
      </w:r>
      <w:r w:rsidR="00E837E3">
        <w:rPr>
          <w:color w:val="000000"/>
          <w:szCs w:val="20"/>
        </w:rPr>
        <w:t xml:space="preserve">major </w:t>
      </w:r>
      <w:r w:rsidR="00E837E3" w:rsidRPr="00E837E3">
        <w:rPr>
          <w:color w:val="000000"/>
          <w:szCs w:val="20"/>
        </w:rPr>
        <w:t>changes between transmittals 10 and 11.</w:t>
      </w:r>
      <w:r w:rsidR="00E837E3">
        <w:rPr>
          <w:b/>
          <w:color w:val="000000"/>
          <w:szCs w:val="20"/>
        </w:rPr>
        <w:t xml:space="preserve"> </w:t>
      </w:r>
      <w:r w:rsidR="00E837E3">
        <w:rPr>
          <w:color w:val="000000"/>
          <w:szCs w:val="20"/>
        </w:rPr>
        <w:t xml:space="preserve"> </w:t>
      </w:r>
      <w:r w:rsidRPr="00DB7FE4">
        <w:rPr>
          <w:color w:val="000000"/>
          <w:szCs w:val="20"/>
        </w:rPr>
        <w:t xml:space="preserve">    </w:t>
      </w:r>
    </w:p>
    <w:p w:rsidR="00100410" w:rsidRPr="00DB7FE4" w:rsidRDefault="00100410" w:rsidP="001A1397">
      <w:pPr>
        <w:pStyle w:val="PlainText"/>
      </w:pPr>
    </w:p>
    <w:p w:rsidR="001E3F7A" w:rsidRDefault="00915C6B" w:rsidP="001A1397">
      <w:pPr>
        <w:pStyle w:val="PlainText"/>
        <w:rPr>
          <w:b/>
          <w:u w:val="single"/>
        </w:rPr>
      </w:pPr>
      <w:r w:rsidRPr="00DB7FE4">
        <w:rPr>
          <w:b/>
          <w:u w:val="single"/>
        </w:rPr>
        <w:t>Inpatient Quality Reporting Program Changes</w:t>
      </w:r>
    </w:p>
    <w:p w:rsidR="0053195F" w:rsidRPr="0053195F" w:rsidRDefault="0053195F" w:rsidP="001A1397">
      <w:pPr>
        <w:pStyle w:val="PlainText"/>
        <w:rPr>
          <w:sz w:val="16"/>
          <w:szCs w:val="16"/>
        </w:rPr>
      </w:pPr>
      <w:r w:rsidRPr="0053195F">
        <w:rPr>
          <w:sz w:val="16"/>
          <w:szCs w:val="16"/>
        </w:rPr>
        <w:t>(</w:t>
      </w:r>
      <w:r w:rsidRPr="0053195F">
        <w:rPr>
          <w:i/>
          <w:sz w:val="16"/>
          <w:szCs w:val="16"/>
        </w:rPr>
        <w:t>Federal Register</w:t>
      </w:r>
      <w:r w:rsidRPr="0053195F">
        <w:rPr>
          <w:sz w:val="16"/>
          <w:szCs w:val="16"/>
        </w:rPr>
        <w:t xml:space="preserve"> pages 20,469 – 20,500)</w:t>
      </w:r>
    </w:p>
    <w:p w:rsidR="000B37E0" w:rsidRPr="0053195F" w:rsidRDefault="000B37E0" w:rsidP="001A1397">
      <w:pPr>
        <w:pStyle w:val="PlainText"/>
        <w:rPr>
          <w:b/>
          <w:sz w:val="16"/>
          <w:szCs w:val="16"/>
          <w:u w:val="single"/>
        </w:rPr>
      </w:pPr>
    </w:p>
    <w:p w:rsidR="00093D49" w:rsidRDefault="00743B99" w:rsidP="001A1397">
      <w:pPr>
        <w:pStyle w:val="PlainText"/>
      </w:pPr>
      <w:r w:rsidRPr="00DB7FE4">
        <w:t xml:space="preserve">The CMS proposes to remove 39 measures from the </w:t>
      </w:r>
      <w:r w:rsidR="000114D9">
        <w:t xml:space="preserve">hospital </w:t>
      </w:r>
      <w:r w:rsidRPr="00DB7FE4">
        <w:t xml:space="preserve">inpatient quality reporting program, many of which </w:t>
      </w:r>
      <w:r w:rsidR="000114D9">
        <w:t>are currently</w:t>
      </w:r>
      <w:r w:rsidR="00093D49">
        <w:t xml:space="preserve"> included in multiple programs such as </w:t>
      </w:r>
      <w:r w:rsidRPr="00DB7FE4">
        <w:t>the hospital acquired conditions (HAC) reduction, value based purchasing (VBP) or hospital readmissions reduction programs</w:t>
      </w:r>
      <w:r w:rsidR="000114D9">
        <w:t>. Many of the measures proposed for removal</w:t>
      </w:r>
      <w:r w:rsidR="00093D49">
        <w:t xml:space="preserve"> will be retained in those programs</w:t>
      </w:r>
      <w:r w:rsidRPr="00DB7FE4">
        <w:t>.</w:t>
      </w:r>
      <w:r w:rsidR="00093D49">
        <w:t xml:space="preserve"> The MHA is supportive of the CMS’ proposed streamlining of measures and historically have o</w:t>
      </w:r>
      <w:r w:rsidR="00C25EF7">
        <w:t>bjected to</w:t>
      </w:r>
      <w:r w:rsidR="00093D49">
        <w:t xml:space="preserve"> the use of the same measure, or a variation of it, in multiple programs. </w:t>
      </w:r>
    </w:p>
    <w:p w:rsidR="00093D49" w:rsidRDefault="00093D49" w:rsidP="001A1397">
      <w:pPr>
        <w:pStyle w:val="PlainText"/>
      </w:pPr>
    </w:p>
    <w:p w:rsidR="000B37E0" w:rsidRPr="00DB7FE4" w:rsidRDefault="00093D49" w:rsidP="001A1397">
      <w:pPr>
        <w:pStyle w:val="PlainText"/>
      </w:pPr>
      <w:r>
        <w:t>T</w:t>
      </w:r>
      <w:r w:rsidR="00743B99" w:rsidRPr="00DB7FE4">
        <w:t xml:space="preserve">he proposal </w:t>
      </w:r>
      <w:r>
        <w:t xml:space="preserve">also </w:t>
      </w:r>
      <w:r w:rsidR="00743B99" w:rsidRPr="00DB7FE4">
        <w:t xml:space="preserve">includes removing the survey on patient safety culture which the agency does not propose to retain in another program. </w:t>
      </w:r>
      <w:r w:rsidR="000B37E0" w:rsidRPr="00DB7FE4">
        <w:t xml:space="preserve">The MHA believes </w:t>
      </w:r>
      <w:r w:rsidR="00743B99" w:rsidRPr="00DB7FE4">
        <w:t xml:space="preserve">that </w:t>
      </w:r>
      <w:r w:rsidR="000B37E0" w:rsidRPr="00DB7FE4">
        <w:t xml:space="preserve">the patient safety culture survey component </w:t>
      </w:r>
      <w:r w:rsidR="00743B99" w:rsidRPr="00DB7FE4">
        <w:t>should</w:t>
      </w:r>
      <w:r w:rsidR="000B37E0" w:rsidRPr="00DB7FE4">
        <w:t xml:space="preserve"> remain </w:t>
      </w:r>
      <w:r w:rsidR="00743B99" w:rsidRPr="00DB7FE4">
        <w:t xml:space="preserve">in the IQR program </w:t>
      </w:r>
      <w:r w:rsidR="000B37E0" w:rsidRPr="00DB7FE4">
        <w:t xml:space="preserve">to support improving quality and safety outcomes. We recommend that the survey </w:t>
      </w:r>
      <w:r w:rsidR="00743B99" w:rsidRPr="00DB7FE4">
        <w:t xml:space="preserve">be conducted bi-annually rather than </w:t>
      </w:r>
      <w:r w:rsidR="000B37E0" w:rsidRPr="00DB7FE4">
        <w:t xml:space="preserve">annually </w:t>
      </w:r>
      <w:r w:rsidR="00743B99" w:rsidRPr="00DB7FE4">
        <w:t xml:space="preserve">since </w:t>
      </w:r>
      <w:r w:rsidR="000B37E0" w:rsidRPr="00DB7FE4">
        <w:t xml:space="preserve">culture change moves at a slower rate.  </w:t>
      </w:r>
      <w:r w:rsidR="00743B99" w:rsidRPr="00DB7FE4">
        <w:t>T</w:t>
      </w:r>
      <w:r w:rsidR="000B37E0" w:rsidRPr="00DB7FE4">
        <w:t>here is a strong, and continually growing, body of evidence that links safety culture to improved clinical outcomes. While patient safety culture surveys may not directly impact outcomes, it is a vital tool for the measurement of cultural factors that do have a direct bearing on the delivery of safe, high</w:t>
      </w:r>
      <w:r w:rsidR="00FE43A8">
        <w:t>-</w:t>
      </w:r>
      <w:r w:rsidR="000B37E0" w:rsidRPr="00DB7FE4">
        <w:t xml:space="preserve">quality care. </w:t>
      </w:r>
    </w:p>
    <w:p w:rsidR="000B37E0" w:rsidRPr="00DB7FE4" w:rsidRDefault="000B37E0" w:rsidP="001A1397">
      <w:pPr>
        <w:pStyle w:val="PlainText"/>
      </w:pPr>
    </w:p>
    <w:p w:rsidR="000B37E0" w:rsidRPr="00DB7FE4" w:rsidRDefault="000B37E0" w:rsidP="001A1397">
      <w:pPr>
        <w:pStyle w:val="PlainText"/>
      </w:pPr>
      <w:r w:rsidRPr="00DB7FE4">
        <w:t xml:space="preserve">Unlike many quality measures that are collected for the sole purpose of reporting to entities outside of </w:t>
      </w:r>
      <w:r w:rsidR="00743B99" w:rsidRPr="00DB7FE4">
        <w:t>the hospital</w:t>
      </w:r>
      <w:r w:rsidRPr="00DB7FE4">
        <w:t xml:space="preserve">, patient safety culture surveys have become part of the routine operational </w:t>
      </w:r>
      <w:r w:rsidR="00743B99" w:rsidRPr="00DB7FE4">
        <w:t>a</w:t>
      </w:r>
      <w:r w:rsidRPr="00DB7FE4">
        <w:t xml:space="preserve">ssessments. Additionally, it is important to note that there are a variety of methods to survey and report data that allow hospitals to use a mechanism that minimizes burden while generating important information to manage patient safety culture. Most organizations will continue to conduct this survey regardless of requirement from the CMS. However, through inclusion in the IPPS, the CMS recognizes the value and importance of this survey process. </w:t>
      </w:r>
    </w:p>
    <w:p w:rsidR="000B37E0" w:rsidRPr="00DB7FE4" w:rsidRDefault="000B37E0" w:rsidP="001A1397">
      <w:pPr>
        <w:pStyle w:val="PlainText"/>
      </w:pPr>
    </w:p>
    <w:p w:rsidR="000B37E0" w:rsidRPr="00DB7FE4" w:rsidRDefault="000B37E0" w:rsidP="001A1397">
      <w:pPr>
        <w:pStyle w:val="PlainText"/>
      </w:pPr>
      <w:r w:rsidRPr="00DB7FE4">
        <w:t>Data collected from a patient safety culture survey provides information to organizational leaders, as well as those working directly to improve quality of care. While most organizations regularly measure their patient safety culture, removal of the survey requirement may reduce the imperative for some to deploy this import</w:t>
      </w:r>
      <w:r w:rsidR="00A26840" w:rsidRPr="00DB7FE4">
        <w:t>ant</w:t>
      </w:r>
      <w:r w:rsidRPr="00DB7FE4">
        <w:t xml:space="preserve"> tool, in-turn decreasing their ability to more effectively manage quality and safety improvements.  </w:t>
      </w:r>
    </w:p>
    <w:p w:rsidR="001E3F7A" w:rsidRPr="00DB7FE4" w:rsidRDefault="001E3F7A" w:rsidP="001A1397">
      <w:pPr>
        <w:pStyle w:val="PlainText"/>
      </w:pPr>
    </w:p>
    <w:p w:rsidR="008B1A55" w:rsidRDefault="00EE3CD9" w:rsidP="001A1397">
      <w:pPr>
        <w:rPr>
          <w:b/>
          <w:szCs w:val="20"/>
          <w:u w:val="single"/>
        </w:rPr>
      </w:pPr>
      <w:r w:rsidRPr="00DB7FE4">
        <w:rPr>
          <w:b/>
          <w:szCs w:val="20"/>
          <w:u w:val="single"/>
        </w:rPr>
        <w:t>R</w:t>
      </w:r>
      <w:r w:rsidR="000B37E0" w:rsidRPr="00DB7FE4">
        <w:rPr>
          <w:b/>
          <w:szCs w:val="20"/>
          <w:u w:val="single"/>
        </w:rPr>
        <w:t xml:space="preserve">equest for Information </w:t>
      </w:r>
      <w:r w:rsidRPr="00DB7FE4">
        <w:rPr>
          <w:b/>
          <w:szCs w:val="20"/>
          <w:u w:val="single"/>
        </w:rPr>
        <w:t>on I</w:t>
      </w:r>
      <w:r w:rsidR="00A26840" w:rsidRPr="00DB7FE4">
        <w:rPr>
          <w:b/>
          <w:szCs w:val="20"/>
          <w:u w:val="single"/>
        </w:rPr>
        <w:t>nteroperability</w:t>
      </w:r>
    </w:p>
    <w:p w:rsidR="00723C99" w:rsidRPr="00723C99" w:rsidRDefault="00723C99" w:rsidP="001A1397">
      <w:pPr>
        <w:rPr>
          <w:sz w:val="16"/>
          <w:szCs w:val="16"/>
          <w:u w:val="single"/>
        </w:rPr>
      </w:pPr>
      <w:r w:rsidRPr="00723C99">
        <w:rPr>
          <w:sz w:val="16"/>
          <w:szCs w:val="16"/>
          <w:u w:val="single"/>
        </w:rPr>
        <w:t>(</w:t>
      </w:r>
      <w:r w:rsidRPr="00723C99">
        <w:rPr>
          <w:i/>
          <w:sz w:val="16"/>
          <w:szCs w:val="16"/>
          <w:u w:val="single"/>
        </w:rPr>
        <w:t>Federal Register</w:t>
      </w:r>
      <w:r w:rsidRPr="00723C99">
        <w:rPr>
          <w:sz w:val="16"/>
          <w:szCs w:val="16"/>
          <w:u w:val="single"/>
        </w:rPr>
        <w:t xml:space="preserve"> pages 20,550 – 20,553)</w:t>
      </w:r>
    </w:p>
    <w:p w:rsidR="00EE3CD9" w:rsidRPr="00DB7FE4" w:rsidRDefault="00EE3CD9" w:rsidP="001A1397">
      <w:pPr>
        <w:rPr>
          <w:b/>
          <w:szCs w:val="20"/>
        </w:rPr>
      </w:pPr>
    </w:p>
    <w:p w:rsidR="00723C99" w:rsidRDefault="00723C99" w:rsidP="00723C99">
      <w:pPr>
        <w:rPr>
          <w:szCs w:val="20"/>
        </w:rPr>
      </w:pPr>
      <w:r>
        <w:rPr>
          <w:szCs w:val="20"/>
        </w:rPr>
        <w:t xml:space="preserve">With this proposed rule, the CMS is issuing a Request for Information (RFI) on “Promoting Interoperability and Electronic Health Information Exchange through Possible Revisions to the CMS Patient Health and Safety Requirements for Hospitals and Other Medicare- and Medicaid-Participating Providers and Suppliers”. </w:t>
      </w:r>
    </w:p>
    <w:p w:rsidR="00723C99" w:rsidRDefault="00723C99" w:rsidP="00723C99">
      <w:pPr>
        <w:rPr>
          <w:szCs w:val="20"/>
        </w:rPr>
      </w:pPr>
    </w:p>
    <w:p w:rsidR="00723C99" w:rsidRDefault="00723C99" w:rsidP="00723C99">
      <w:r w:rsidRPr="00100410">
        <w:t xml:space="preserve">We </w:t>
      </w:r>
      <w:r w:rsidR="00093D49">
        <w:t>support</w:t>
      </w:r>
      <w:r w:rsidRPr="00100410">
        <w:t xml:space="preserve"> the CMS’ change of focus for the EHR Incentive Program to reflect the continued importance of interoperability. Michigan has been a leader in statewide information sharing and the growth of Health Information Exchanges (HIEs) such as Great Lakes Health Connect (</w:t>
      </w:r>
      <w:hyperlink r:id="rId8" w:history="1">
        <w:r w:rsidRPr="00100410">
          <w:rPr>
            <w:rStyle w:val="Hyperlink"/>
          </w:rPr>
          <w:t>www.GLHC.org</w:t>
        </w:r>
      </w:hyperlink>
      <w:r w:rsidRPr="00100410">
        <w:t>) and the Upper Peninsula Health Information Exchange (</w:t>
      </w:r>
      <w:hyperlink r:id="rId9" w:history="1">
        <w:r w:rsidRPr="00100410">
          <w:rPr>
            <w:rStyle w:val="Hyperlink"/>
          </w:rPr>
          <w:t>www.uphie.org</w:t>
        </w:r>
      </w:hyperlink>
      <w:r w:rsidRPr="00100410">
        <w:t>) is a reflection of that leadership.  Along with these HIEs, the Michigan Health Information Network (</w:t>
      </w:r>
      <w:hyperlink r:id="rId10" w:history="1">
        <w:r w:rsidRPr="00100410">
          <w:rPr>
            <w:rStyle w:val="Hyperlink"/>
          </w:rPr>
          <w:t>www.mihin.org</w:t>
        </w:r>
      </w:hyperlink>
      <w:r w:rsidRPr="00100410">
        <w:t xml:space="preserve">) allows providers to “connect once” </w:t>
      </w:r>
      <w:r w:rsidRPr="00100410">
        <w:lastRenderedPageBreak/>
        <w:t>to gain access to patient information across the state. This network of networks facilitates interoperability and the exchange of electronic health information to build technical and collaborative partnerships between healthcare providers throughout the state; from hospitals and physicians to pharmacies and payers. MiHIN offers shared technology services that help ensure the electronic health records of Michigan citizens are available for all who deliver care services. More than 17 million secure patient information passes through MiHIN’s statewide network weekly.</w:t>
      </w:r>
    </w:p>
    <w:p w:rsidR="00723C99" w:rsidRDefault="00723C99" w:rsidP="00723C99">
      <w:pPr>
        <w:rPr>
          <w:color w:val="1F497D"/>
          <w:szCs w:val="20"/>
        </w:rPr>
      </w:pPr>
    </w:p>
    <w:p w:rsidR="00723C99" w:rsidRDefault="00723C99" w:rsidP="001A1397">
      <w:pPr>
        <w:rPr>
          <w:szCs w:val="20"/>
        </w:rPr>
      </w:pPr>
      <w:r>
        <w:rPr>
          <w:szCs w:val="20"/>
        </w:rPr>
        <w:t>In addition, t</w:t>
      </w:r>
      <w:r w:rsidRPr="00DB7FE4">
        <w:rPr>
          <w:szCs w:val="20"/>
        </w:rPr>
        <w:t>he CMS seeks input regarding whether the agency should promote interoperability by including electronic sharing of health information as a Medicare condition of participation for hospitals, skilled-nursing facilities</w:t>
      </w:r>
      <w:r w:rsidR="00093D49">
        <w:rPr>
          <w:szCs w:val="20"/>
        </w:rPr>
        <w:t xml:space="preserve">, inpatient rehabilitation facilities, </w:t>
      </w:r>
      <w:r w:rsidRPr="00DB7FE4">
        <w:rPr>
          <w:szCs w:val="20"/>
        </w:rPr>
        <w:t xml:space="preserve">and other </w:t>
      </w:r>
      <w:r w:rsidR="00093D49">
        <w:rPr>
          <w:szCs w:val="20"/>
        </w:rPr>
        <w:t xml:space="preserve">post-acute </w:t>
      </w:r>
      <w:r w:rsidRPr="00DB7FE4">
        <w:rPr>
          <w:szCs w:val="20"/>
        </w:rPr>
        <w:t>care settings</w:t>
      </w:r>
      <w:r w:rsidR="00093D49">
        <w:rPr>
          <w:szCs w:val="20"/>
        </w:rPr>
        <w:t xml:space="preserve">. </w:t>
      </w:r>
    </w:p>
    <w:p w:rsidR="00EE3CD9" w:rsidRDefault="00C25EF7" w:rsidP="001A1397">
      <w:pPr>
        <w:rPr>
          <w:b/>
          <w:szCs w:val="20"/>
        </w:rPr>
      </w:pPr>
      <w:r>
        <w:rPr>
          <w:b/>
          <w:szCs w:val="20"/>
        </w:rPr>
        <w:t xml:space="preserve">Although the MHA is supportive of the CMS’ promoting interoperability, we </w:t>
      </w:r>
      <w:r w:rsidR="00EE3CD9" w:rsidRPr="00DB7FE4">
        <w:rPr>
          <w:b/>
          <w:szCs w:val="20"/>
        </w:rPr>
        <w:t>o</w:t>
      </w:r>
      <w:r>
        <w:rPr>
          <w:b/>
          <w:szCs w:val="20"/>
        </w:rPr>
        <w:t xml:space="preserve">bject to </w:t>
      </w:r>
      <w:r w:rsidR="00723C99">
        <w:rPr>
          <w:b/>
          <w:szCs w:val="20"/>
        </w:rPr>
        <w:t xml:space="preserve">the CMS requiring interoperability as a Medicare </w:t>
      </w:r>
      <w:r w:rsidR="00EE3CD9" w:rsidRPr="00DB7FE4">
        <w:rPr>
          <w:b/>
          <w:szCs w:val="20"/>
        </w:rPr>
        <w:t>condition of participation</w:t>
      </w:r>
      <w:r w:rsidR="00723C99">
        <w:rPr>
          <w:b/>
          <w:szCs w:val="20"/>
        </w:rPr>
        <w:t xml:space="preserve"> </w:t>
      </w:r>
      <w:r w:rsidR="00093D49">
        <w:rPr>
          <w:b/>
          <w:szCs w:val="20"/>
        </w:rPr>
        <w:t xml:space="preserve">since this would likely result in some hospitals and post-acute providers no longer being eligible to participate in the Medicare program and therefore would be </w:t>
      </w:r>
      <w:r w:rsidR="002A791B">
        <w:rPr>
          <w:b/>
          <w:szCs w:val="20"/>
        </w:rPr>
        <w:t>in</w:t>
      </w:r>
      <w:r w:rsidR="00093D49">
        <w:rPr>
          <w:b/>
          <w:szCs w:val="20"/>
        </w:rPr>
        <w:t>eligible for Medicare payments for services to Medicare beneficiaries</w:t>
      </w:r>
      <w:r w:rsidR="002A791B">
        <w:rPr>
          <w:b/>
          <w:szCs w:val="20"/>
        </w:rPr>
        <w:t>, potentially resulting in hospital closures</w:t>
      </w:r>
      <w:r w:rsidR="00EE3CD9" w:rsidRPr="00DB7FE4">
        <w:rPr>
          <w:b/>
          <w:szCs w:val="20"/>
        </w:rPr>
        <w:t xml:space="preserve">. </w:t>
      </w:r>
      <w:r w:rsidR="002A791B">
        <w:rPr>
          <w:b/>
          <w:szCs w:val="20"/>
        </w:rPr>
        <w:t>Hospital closures or exclusion from Medicare would reduce access to essential services for Medicare patients. T</w:t>
      </w:r>
      <w:r w:rsidR="00093D49">
        <w:rPr>
          <w:b/>
          <w:szCs w:val="20"/>
        </w:rPr>
        <w:t xml:space="preserve">he MHA </w:t>
      </w:r>
      <w:r>
        <w:rPr>
          <w:b/>
          <w:szCs w:val="20"/>
        </w:rPr>
        <w:t>recommends</w:t>
      </w:r>
      <w:r w:rsidR="00093D49">
        <w:rPr>
          <w:b/>
          <w:szCs w:val="20"/>
        </w:rPr>
        <w:t xml:space="preserve"> that the CMS provide additional </w:t>
      </w:r>
      <w:r>
        <w:rPr>
          <w:b/>
          <w:szCs w:val="20"/>
        </w:rPr>
        <w:t>incentive payments</w:t>
      </w:r>
      <w:r w:rsidR="00093D49">
        <w:rPr>
          <w:b/>
          <w:szCs w:val="20"/>
        </w:rPr>
        <w:t xml:space="preserve"> to help ensure that hospitals and post-acute care facilities have </w:t>
      </w:r>
      <w:r>
        <w:rPr>
          <w:b/>
          <w:szCs w:val="20"/>
        </w:rPr>
        <w:t xml:space="preserve">the </w:t>
      </w:r>
      <w:r w:rsidR="00093D49">
        <w:rPr>
          <w:b/>
          <w:szCs w:val="20"/>
        </w:rPr>
        <w:t xml:space="preserve">resources necessary for investing in technologies that promote interoperability. </w:t>
      </w:r>
    </w:p>
    <w:p w:rsidR="00100410" w:rsidRPr="00DB7FE4" w:rsidRDefault="00100410" w:rsidP="001A1397">
      <w:pPr>
        <w:rPr>
          <w:b/>
          <w:szCs w:val="20"/>
        </w:rPr>
      </w:pPr>
    </w:p>
    <w:p w:rsidR="004C5DB1" w:rsidRPr="00DB7FE4" w:rsidRDefault="004C5DB1" w:rsidP="001A1397">
      <w:pPr>
        <w:rPr>
          <w:b/>
          <w:szCs w:val="20"/>
        </w:rPr>
      </w:pPr>
    </w:p>
    <w:p w:rsidR="00C639B8" w:rsidRDefault="00C639B8" w:rsidP="001A1397">
      <w:pPr>
        <w:rPr>
          <w:b/>
          <w:szCs w:val="20"/>
          <w:u w:val="single"/>
        </w:rPr>
      </w:pPr>
      <w:r w:rsidRPr="00DB7FE4">
        <w:rPr>
          <w:b/>
          <w:szCs w:val="20"/>
          <w:u w:val="single"/>
        </w:rPr>
        <w:t>Value-Based Purchasing (VBP) Program</w:t>
      </w:r>
    </w:p>
    <w:p w:rsidR="00C026E4" w:rsidRPr="002D273E" w:rsidRDefault="00C026E4" w:rsidP="001A1397">
      <w:pPr>
        <w:rPr>
          <w:sz w:val="16"/>
          <w:szCs w:val="16"/>
          <w:u w:val="single"/>
        </w:rPr>
      </w:pPr>
      <w:r w:rsidRPr="002D273E">
        <w:rPr>
          <w:sz w:val="16"/>
          <w:szCs w:val="16"/>
          <w:u w:val="single"/>
        </w:rPr>
        <w:t>(</w:t>
      </w:r>
      <w:r w:rsidRPr="002D273E">
        <w:rPr>
          <w:i/>
          <w:sz w:val="16"/>
          <w:szCs w:val="16"/>
          <w:u w:val="single"/>
        </w:rPr>
        <w:t>Federal Register</w:t>
      </w:r>
      <w:r w:rsidRPr="002D273E">
        <w:rPr>
          <w:sz w:val="16"/>
          <w:szCs w:val="16"/>
          <w:u w:val="single"/>
        </w:rPr>
        <w:t xml:space="preserve"> pages </w:t>
      </w:r>
      <w:r w:rsidR="002D273E" w:rsidRPr="002D273E">
        <w:rPr>
          <w:sz w:val="16"/>
          <w:szCs w:val="16"/>
          <w:u w:val="single"/>
        </w:rPr>
        <w:t>20,407 – 20,426)</w:t>
      </w:r>
    </w:p>
    <w:p w:rsidR="00C639B8" w:rsidRPr="002D273E" w:rsidRDefault="00C639B8" w:rsidP="001A1397">
      <w:pPr>
        <w:rPr>
          <w:sz w:val="16"/>
          <w:szCs w:val="16"/>
          <w:u w:val="single"/>
        </w:rPr>
      </w:pPr>
    </w:p>
    <w:p w:rsidR="00C25EF7" w:rsidRDefault="00A10A9D" w:rsidP="001A1397">
      <w:pPr>
        <w:rPr>
          <w:szCs w:val="20"/>
        </w:rPr>
      </w:pPr>
      <w:r w:rsidRPr="00DB7FE4">
        <w:rPr>
          <w:szCs w:val="20"/>
        </w:rPr>
        <w:t xml:space="preserve">Currently, the VBP program includes </w:t>
      </w:r>
      <w:r w:rsidR="00C25EF7">
        <w:rPr>
          <w:szCs w:val="20"/>
        </w:rPr>
        <w:t>four domains</w:t>
      </w:r>
      <w:r w:rsidR="00BC6D2E">
        <w:rPr>
          <w:szCs w:val="20"/>
        </w:rPr>
        <w:t xml:space="preserve"> each weighted at 25 percent in determining a hospital’s total performance score (TPS)</w:t>
      </w:r>
      <w:r w:rsidR="00C25EF7">
        <w:rPr>
          <w:szCs w:val="20"/>
        </w:rPr>
        <w:t>:</w:t>
      </w:r>
    </w:p>
    <w:p w:rsidR="00C25EF7" w:rsidRPr="00BC6D2E" w:rsidRDefault="00C25EF7" w:rsidP="00BC6D2E">
      <w:pPr>
        <w:pStyle w:val="ListParagraph"/>
        <w:numPr>
          <w:ilvl w:val="1"/>
          <w:numId w:val="18"/>
        </w:numPr>
        <w:rPr>
          <w:rFonts w:ascii="Arial" w:hAnsi="Arial" w:cs="Arial"/>
          <w:sz w:val="20"/>
          <w:szCs w:val="20"/>
        </w:rPr>
      </w:pPr>
      <w:r w:rsidRPr="00BC6D2E">
        <w:rPr>
          <w:rFonts w:ascii="Arial" w:hAnsi="Arial" w:cs="Arial"/>
          <w:sz w:val="20"/>
          <w:szCs w:val="20"/>
        </w:rPr>
        <w:t>Clinical Care</w:t>
      </w:r>
    </w:p>
    <w:p w:rsidR="00C25EF7" w:rsidRPr="00BC6D2E" w:rsidRDefault="00C25EF7" w:rsidP="00BC6D2E">
      <w:pPr>
        <w:pStyle w:val="ListParagraph"/>
        <w:numPr>
          <w:ilvl w:val="1"/>
          <w:numId w:val="18"/>
        </w:numPr>
        <w:rPr>
          <w:rFonts w:ascii="Arial" w:hAnsi="Arial" w:cs="Arial"/>
          <w:sz w:val="20"/>
          <w:szCs w:val="20"/>
        </w:rPr>
      </w:pPr>
      <w:r w:rsidRPr="00BC6D2E">
        <w:rPr>
          <w:rFonts w:ascii="Arial" w:hAnsi="Arial" w:cs="Arial"/>
          <w:sz w:val="20"/>
          <w:szCs w:val="20"/>
        </w:rPr>
        <w:t>Safety</w:t>
      </w:r>
      <w:r w:rsidR="00BC6D2E" w:rsidRPr="00BC6D2E">
        <w:rPr>
          <w:rFonts w:ascii="Arial" w:hAnsi="Arial" w:cs="Arial"/>
          <w:sz w:val="20"/>
          <w:szCs w:val="20"/>
        </w:rPr>
        <w:t xml:space="preserve"> of Care </w:t>
      </w:r>
    </w:p>
    <w:p w:rsidR="00C25EF7" w:rsidRPr="00BC6D2E" w:rsidRDefault="00C25EF7" w:rsidP="00BC6D2E">
      <w:pPr>
        <w:pStyle w:val="ListParagraph"/>
        <w:numPr>
          <w:ilvl w:val="1"/>
          <w:numId w:val="18"/>
        </w:numPr>
        <w:rPr>
          <w:rFonts w:ascii="Arial" w:hAnsi="Arial" w:cs="Arial"/>
          <w:sz w:val="20"/>
          <w:szCs w:val="20"/>
        </w:rPr>
      </w:pPr>
      <w:r w:rsidRPr="00BC6D2E">
        <w:rPr>
          <w:rFonts w:ascii="Arial" w:hAnsi="Arial" w:cs="Arial"/>
          <w:sz w:val="20"/>
          <w:szCs w:val="20"/>
        </w:rPr>
        <w:t>Per</w:t>
      </w:r>
      <w:r w:rsidR="00BC6D2E" w:rsidRPr="00BC6D2E">
        <w:rPr>
          <w:rFonts w:ascii="Arial" w:hAnsi="Arial" w:cs="Arial"/>
          <w:sz w:val="20"/>
          <w:szCs w:val="20"/>
        </w:rPr>
        <w:t>son and Community Engagement</w:t>
      </w:r>
    </w:p>
    <w:p w:rsidR="00BC6D2E" w:rsidRPr="00BC6D2E" w:rsidRDefault="00BC6D2E" w:rsidP="00BC6D2E">
      <w:pPr>
        <w:pStyle w:val="ListParagraph"/>
        <w:numPr>
          <w:ilvl w:val="1"/>
          <w:numId w:val="18"/>
        </w:numPr>
        <w:rPr>
          <w:rFonts w:ascii="Arial" w:hAnsi="Arial" w:cs="Arial"/>
          <w:sz w:val="20"/>
          <w:szCs w:val="20"/>
        </w:rPr>
      </w:pPr>
      <w:r w:rsidRPr="00BC6D2E">
        <w:rPr>
          <w:rFonts w:ascii="Arial" w:hAnsi="Arial" w:cs="Arial"/>
          <w:sz w:val="20"/>
          <w:szCs w:val="20"/>
        </w:rPr>
        <w:t xml:space="preserve">Efficiency and Cost Reduction </w:t>
      </w:r>
    </w:p>
    <w:p w:rsidR="00BC6D2E" w:rsidRDefault="00BC6D2E" w:rsidP="001A1397">
      <w:pPr>
        <w:rPr>
          <w:szCs w:val="20"/>
        </w:rPr>
      </w:pPr>
    </w:p>
    <w:p w:rsidR="00C25EF7" w:rsidRDefault="00C25EF7" w:rsidP="001A1397">
      <w:pPr>
        <w:rPr>
          <w:szCs w:val="20"/>
        </w:rPr>
      </w:pPr>
      <w:r>
        <w:rPr>
          <w:szCs w:val="20"/>
        </w:rPr>
        <w:t xml:space="preserve">The CMS proposes to remove </w:t>
      </w:r>
      <w:r w:rsidR="00FE43A8">
        <w:rPr>
          <w:szCs w:val="20"/>
        </w:rPr>
        <w:t>10</w:t>
      </w:r>
      <w:r>
        <w:rPr>
          <w:szCs w:val="20"/>
        </w:rPr>
        <w:t xml:space="preserve"> measures</w:t>
      </w:r>
      <w:r w:rsidR="00BC6D2E">
        <w:rPr>
          <w:szCs w:val="20"/>
        </w:rPr>
        <w:t xml:space="preserve"> from the VBP program for future years</w:t>
      </w:r>
      <w:r>
        <w:rPr>
          <w:szCs w:val="20"/>
        </w:rPr>
        <w:t>, with most of these retained in the HAC reduction program</w:t>
      </w:r>
      <w:r w:rsidR="00BC6D2E">
        <w:rPr>
          <w:szCs w:val="20"/>
        </w:rPr>
        <w:t>. O</w:t>
      </w:r>
      <w:r>
        <w:rPr>
          <w:szCs w:val="20"/>
        </w:rPr>
        <w:t xml:space="preserve">ther measures </w:t>
      </w:r>
      <w:r w:rsidR="00BC6D2E">
        <w:rPr>
          <w:szCs w:val="20"/>
        </w:rPr>
        <w:t xml:space="preserve">are </w:t>
      </w:r>
      <w:r>
        <w:rPr>
          <w:szCs w:val="20"/>
        </w:rPr>
        <w:t xml:space="preserve">proposed for removal due to </w:t>
      </w:r>
      <w:r w:rsidR="00BC6D2E">
        <w:rPr>
          <w:szCs w:val="20"/>
        </w:rPr>
        <w:t xml:space="preserve">their similarity </w:t>
      </w:r>
      <w:r>
        <w:rPr>
          <w:szCs w:val="20"/>
        </w:rPr>
        <w:t xml:space="preserve">to other existing efficiency measures. The MHA is supportive of the proposed removal of the </w:t>
      </w:r>
      <w:r w:rsidR="00FE43A8">
        <w:rPr>
          <w:szCs w:val="20"/>
        </w:rPr>
        <w:t>10</w:t>
      </w:r>
      <w:r>
        <w:rPr>
          <w:szCs w:val="20"/>
        </w:rPr>
        <w:t xml:space="preserve"> measures. As </w:t>
      </w:r>
      <w:r w:rsidR="00BC6D2E">
        <w:rPr>
          <w:szCs w:val="20"/>
        </w:rPr>
        <w:t xml:space="preserve">previously </w:t>
      </w:r>
      <w:r>
        <w:rPr>
          <w:szCs w:val="20"/>
        </w:rPr>
        <w:t xml:space="preserve">indicated, </w:t>
      </w:r>
      <w:r w:rsidR="00BC6D2E">
        <w:rPr>
          <w:szCs w:val="20"/>
        </w:rPr>
        <w:t xml:space="preserve">historically, </w:t>
      </w:r>
      <w:r>
        <w:rPr>
          <w:szCs w:val="20"/>
        </w:rPr>
        <w:t>the MHA has objected to the use of the same or similar measure in multiple program</w:t>
      </w:r>
      <w:r w:rsidR="00660DFC">
        <w:rPr>
          <w:szCs w:val="20"/>
        </w:rPr>
        <w:t>s</w:t>
      </w:r>
      <w:r>
        <w:rPr>
          <w:szCs w:val="20"/>
        </w:rPr>
        <w:t xml:space="preserve">. </w:t>
      </w:r>
    </w:p>
    <w:p w:rsidR="00C25EF7" w:rsidRDefault="00C25EF7" w:rsidP="001A1397">
      <w:pPr>
        <w:rPr>
          <w:szCs w:val="20"/>
        </w:rPr>
      </w:pPr>
    </w:p>
    <w:p w:rsidR="00C639B8" w:rsidRPr="00DB7FE4" w:rsidRDefault="00A10A9D" w:rsidP="001A1397">
      <w:pPr>
        <w:rPr>
          <w:szCs w:val="20"/>
        </w:rPr>
      </w:pPr>
      <w:r w:rsidRPr="00DB7FE4">
        <w:rPr>
          <w:szCs w:val="20"/>
        </w:rPr>
        <w:t>However, because the CMS has proposed to remove all the safety measures from the VBP, the CMS proposes to revise the VBP measure domain weights by removing the safety domain altogether and increasing the weight of the “clinical outcomes” domain to 50 percent with the remaining two domains weighted at 25 percent each. As a result, the CMS proposes to reweight the program domains for FY 2021 as follows:</w:t>
      </w:r>
    </w:p>
    <w:p w:rsidR="00A10A9D" w:rsidRPr="00DB7FE4" w:rsidRDefault="00A10A9D" w:rsidP="001A1397">
      <w:pPr>
        <w:rPr>
          <w:szCs w:val="20"/>
        </w:rPr>
      </w:pPr>
    </w:p>
    <w:p w:rsidR="00C639B8" w:rsidRPr="00DB7FE4" w:rsidRDefault="00A10A9D" w:rsidP="001A1397">
      <w:pPr>
        <w:pStyle w:val="ListParagraph"/>
        <w:numPr>
          <w:ilvl w:val="0"/>
          <w:numId w:val="14"/>
        </w:numPr>
        <w:rPr>
          <w:rFonts w:ascii="Arial" w:hAnsi="Arial" w:cs="Arial"/>
          <w:sz w:val="20"/>
          <w:szCs w:val="20"/>
        </w:rPr>
      </w:pPr>
      <w:r w:rsidRPr="00DB7FE4">
        <w:rPr>
          <w:rFonts w:ascii="Arial" w:hAnsi="Arial" w:cs="Arial"/>
          <w:sz w:val="20"/>
          <w:szCs w:val="20"/>
        </w:rPr>
        <w:t>Clinical Outcomes – 50 percent</w:t>
      </w:r>
    </w:p>
    <w:p w:rsidR="00A10A9D" w:rsidRPr="00DB7FE4" w:rsidRDefault="00A10A9D" w:rsidP="001A1397">
      <w:pPr>
        <w:pStyle w:val="ListParagraph"/>
        <w:numPr>
          <w:ilvl w:val="0"/>
          <w:numId w:val="14"/>
        </w:numPr>
        <w:rPr>
          <w:rFonts w:ascii="Arial" w:hAnsi="Arial" w:cs="Arial"/>
          <w:sz w:val="20"/>
          <w:szCs w:val="20"/>
        </w:rPr>
      </w:pPr>
      <w:r w:rsidRPr="00DB7FE4">
        <w:rPr>
          <w:rFonts w:ascii="Arial" w:hAnsi="Arial" w:cs="Arial"/>
          <w:sz w:val="20"/>
          <w:szCs w:val="20"/>
        </w:rPr>
        <w:t>Person and Community Engagement – 25 percent</w:t>
      </w:r>
    </w:p>
    <w:p w:rsidR="00A10A9D" w:rsidRPr="00DB7FE4" w:rsidRDefault="00A10A9D" w:rsidP="001A1397">
      <w:pPr>
        <w:pStyle w:val="ListParagraph"/>
        <w:numPr>
          <w:ilvl w:val="0"/>
          <w:numId w:val="14"/>
        </w:numPr>
        <w:rPr>
          <w:rFonts w:ascii="Arial" w:hAnsi="Arial" w:cs="Arial"/>
          <w:sz w:val="20"/>
          <w:szCs w:val="20"/>
        </w:rPr>
      </w:pPr>
      <w:r w:rsidRPr="00DB7FE4">
        <w:rPr>
          <w:rFonts w:ascii="Arial" w:hAnsi="Arial" w:cs="Arial"/>
          <w:sz w:val="20"/>
          <w:szCs w:val="20"/>
        </w:rPr>
        <w:t>Efficiency and Cost Reduction – 25 percent</w:t>
      </w:r>
    </w:p>
    <w:p w:rsidR="00A10A9D" w:rsidRDefault="00A10A9D" w:rsidP="001A1397">
      <w:pPr>
        <w:rPr>
          <w:szCs w:val="20"/>
        </w:rPr>
      </w:pPr>
    </w:p>
    <w:p w:rsidR="00C25EF7" w:rsidRPr="009F1A68" w:rsidRDefault="00C25EF7" w:rsidP="001A1397">
      <w:pPr>
        <w:rPr>
          <w:b/>
          <w:szCs w:val="20"/>
        </w:rPr>
      </w:pPr>
      <w:r w:rsidRPr="009F1A68">
        <w:rPr>
          <w:b/>
          <w:szCs w:val="20"/>
        </w:rPr>
        <w:t xml:space="preserve">The MHA is supportive of the proposed </w:t>
      </w:r>
      <w:r w:rsidR="009F1A68" w:rsidRPr="009F1A68">
        <w:rPr>
          <w:b/>
          <w:szCs w:val="20"/>
        </w:rPr>
        <w:t>re-</w:t>
      </w:r>
      <w:r w:rsidR="00BC6D2E" w:rsidRPr="009F1A68">
        <w:rPr>
          <w:b/>
          <w:szCs w:val="20"/>
        </w:rPr>
        <w:t>weighting for the VBP program</w:t>
      </w:r>
      <w:r w:rsidR="009F1A68" w:rsidRPr="009F1A68">
        <w:rPr>
          <w:b/>
          <w:szCs w:val="20"/>
        </w:rPr>
        <w:t xml:space="preserve"> domains</w:t>
      </w:r>
      <w:r w:rsidRPr="009F1A68">
        <w:rPr>
          <w:b/>
          <w:szCs w:val="20"/>
        </w:rPr>
        <w:t>.</w:t>
      </w:r>
      <w:r w:rsidR="002A791B" w:rsidRPr="009F1A68">
        <w:rPr>
          <w:b/>
          <w:szCs w:val="20"/>
        </w:rPr>
        <w:t xml:space="preserve"> </w:t>
      </w:r>
    </w:p>
    <w:p w:rsidR="0018450F" w:rsidRPr="009F1A68" w:rsidRDefault="0018450F" w:rsidP="001A1397">
      <w:pPr>
        <w:rPr>
          <w:b/>
          <w:szCs w:val="20"/>
        </w:rPr>
      </w:pPr>
    </w:p>
    <w:p w:rsidR="004C5DB1" w:rsidRDefault="004C5DB1" w:rsidP="001A1397">
      <w:pPr>
        <w:rPr>
          <w:b/>
          <w:szCs w:val="20"/>
          <w:u w:val="single"/>
        </w:rPr>
      </w:pPr>
      <w:r w:rsidRPr="00DB7FE4">
        <w:rPr>
          <w:b/>
          <w:szCs w:val="20"/>
          <w:u w:val="single"/>
        </w:rPr>
        <w:t>Hospital Readmission Reduction Program</w:t>
      </w:r>
      <w:r w:rsidR="00BB6770" w:rsidRPr="00DB7FE4">
        <w:rPr>
          <w:b/>
          <w:szCs w:val="20"/>
          <w:u w:val="single"/>
        </w:rPr>
        <w:t xml:space="preserve"> (HRRP)</w:t>
      </w:r>
    </w:p>
    <w:p w:rsidR="002D273E" w:rsidRPr="002D273E" w:rsidRDefault="002D273E" w:rsidP="001A1397">
      <w:pPr>
        <w:rPr>
          <w:sz w:val="16"/>
          <w:szCs w:val="16"/>
        </w:rPr>
      </w:pPr>
      <w:r w:rsidRPr="002D273E">
        <w:rPr>
          <w:i/>
          <w:sz w:val="16"/>
          <w:szCs w:val="16"/>
        </w:rPr>
        <w:t>(Federal Register</w:t>
      </w:r>
      <w:r w:rsidRPr="002D273E">
        <w:rPr>
          <w:sz w:val="16"/>
          <w:szCs w:val="16"/>
        </w:rPr>
        <w:t xml:space="preserve"> pages 20,403 – 20,407)</w:t>
      </w:r>
    </w:p>
    <w:p w:rsidR="004C5DB1" w:rsidRPr="00DB7FE4" w:rsidRDefault="004C5DB1" w:rsidP="001A1397">
      <w:pPr>
        <w:rPr>
          <w:b/>
          <w:szCs w:val="20"/>
        </w:rPr>
      </w:pPr>
    </w:p>
    <w:p w:rsidR="004C5DB1" w:rsidRPr="00DB7FE4" w:rsidRDefault="004C5DB1" w:rsidP="001A1397">
      <w:pPr>
        <w:rPr>
          <w:b/>
          <w:szCs w:val="20"/>
        </w:rPr>
      </w:pPr>
      <w:r w:rsidRPr="00DB7FE4">
        <w:rPr>
          <w:szCs w:val="20"/>
        </w:rPr>
        <w:t xml:space="preserve">The CMS proposes to continue using a three-year </w:t>
      </w:r>
      <w:r w:rsidR="005547F5" w:rsidRPr="00DB7FE4">
        <w:rPr>
          <w:szCs w:val="20"/>
        </w:rPr>
        <w:t xml:space="preserve">performance period for the HRRP for FY 2019. Specifically, the CMS would use data from July 1, 2014 through June 30, 2017 </w:t>
      </w:r>
      <w:r w:rsidR="00CF5D51" w:rsidRPr="00DB7FE4">
        <w:rPr>
          <w:szCs w:val="20"/>
        </w:rPr>
        <w:t xml:space="preserve">to evaluate hospital performance for </w:t>
      </w:r>
      <w:r w:rsidR="005547F5" w:rsidRPr="00DB7FE4">
        <w:rPr>
          <w:szCs w:val="20"/>
        </w:rPr>
        <w:t xml:space="preserve">the FY 2019 </w:t>
      </w:r>
      <w:r w:rsidR="00CF5D51" w:rsidRPr="00DB7FE4">
        <w:rPr>
          <w:szCs w:val="20"/>
        </w:rPr>
        <w:t>HRRP.</w:t>
      </w:r>
      <w:r w:rsidR="005547F5" w:rsidRPr="00DB7FE4">
        <w:rPr>
          <w:szCs w:val="20"/>
        </w:rPr>
        <w:t xml:space="preserve"> </w:t>
      </w:r>
      <w:r w:rsidR="005547F5" w:rsidRPr="00DB7FE4">
        <w:rPr>
          <w:b/>
          <w:szCs w:val="20"/>
        </w:rPr>
        <w:t xml:space="preserve">The MHA urges the CMS to examine the impact of using data </w:t>
      </w:r>
      <w:r w:rsidR="00CF5D51" w:rsidRPr="00DB7FE4">
        <w:rPr>
          <w:b/>
          <w:szCs w:val="20"/>
        </w:rPr>
        <w:t xml:space="preserve">for the proposed period </w:t>
      </w:r>
      <w:r w:rsidR="005547F5" w:rsidRPr="00DB7FE4">
        <w:rPr>
          <w:b/>
          <w:szCs w:val="20"/>
        </w:rPr>
        <w:t xml:space="preserve">which includes both ICD-9 and ICD-10 data since ICD-10 </w:t>
      </w:r>
      <w:r w:rsidR="00CF5D51" w:rsidRPr="00DB7FE4">
        <w:rPr>
          <w:b/>
          <w:szCs w:val="20"/>
        </w:rPr>
        <w:t>replaced the ICD-</w:t>
      </w:r>
      <w:r w:rsidR="00CF5D51" w:rsidRPr="00DB7FE4">
        <w:rPr>
          <w:b/>
          <w:szCs w:val="20"/>
        </w:rPr>
        <w:lastRenderedPageBreak/>
        <w:t xml:space="preserve">9 effective </w:t>
      </w:r>
      <w:r w:rsidR="005547F5" w:rsidRPr="00DB7FE4">
        <w:rPr>
          <w:b/>
          <w:szCs w:val="20"/>
        </w:rPr>
        <w:t>Oct. 1, 201</w:t>
      </w:r>
      <w:r w:rsidR="00CF5D51" w:rsidRPr="00DB7FE4">
        <w:rPr>
          <w:b/>
          <w:szCs w:val="20"/>
        </w:rPr>
        <w:t>5</w:t>
      </w:r>
      <w:r w:rsidR="006D6CD3">
        <w:rPr>
          <w:b/>
          <w:szCs w:val="20"/>
        </w:rPr>
        <w:t>, to ensure that there are no unintended negative consequences of using data from two unique systems</w:t>
      </w:r>
      <w:r w:rsidR="005547F5" w:rsidRPr="00DB7FE4">
        <w:rPr>
          <w:b/>
          <w:szCs w:val="20"/>
        </w:rPr>
        <w:t xml:space="preserve">. </w:t>
      </w:r>
    </w:p>
    <w:p w:rsidR="00BB6770" w:rsidRPr="00DB7FE4" w:rsidRDefault="00BB6770" w:rsidP="001A1397">
      <w:pPr>
        <w:rPr>
          <w:b/>
          <w:szCs w:val="20"/>
        </w:rPr>
      </w:pPr>
    </w:p>
    <w:p w:rsidR="00BB6770" w:rsidRPr="00DB7FE4" w:rsidRDefault="00BB6770" w:rsidP="001A1397">
      <w:pPr>
        <w:rPr>
          <w:b/>
          <w:szCs w:val="20"/>
          <w:u w:val="single"/>
        </w:rPr>
      </w:pPr>
      <w:bookmarkStart w:id="1" w:name="_Hlk516660234"/>
      <w:r w:rsidRPr="00DB7FE4">
        <w:rPr>
          <w:b/>
          <w:szCs w:val="20"/>
          <w:u w:val="single"/>
        </w:rPr>
        <w:t xml:space="preserve">Hospital-Acquired Conditions (HAC) Reduction Program </w:t>
      </w:r>
    </w:p>
    <w:p w:rsidR="002D273E" w:rsidRPr="002D273E" w:rsidRDefault="002D273E" w:rsidP="002D273E">
      <w:pPr>
        <w:rPr>
          <w:sz w:val="16"/>
          <w:szCs w:val="16"/>
        </w:rPr>
      </w:pPr>
      <w:r>
        <w:rPr>
          <w:i/>
          <w:sz w:val="16"/>
          <w:szCs w:val="16"/>
        </w:rPr>
        <w:t>(</w:t>
      </w:r>
      <w:r w:rsidRPr="002D273E">
        <w:rPr>
          <w:i/>
          <w:sz w:val="16"/>
          <w:szCs w:val="16"/>
        </w:rPr>
        <w:t>Federal Register</w:t>
      </w:r>
      <w:r w:rsidRPr="002D273E">
        <w:rPr>
          <w:sz w:val="16"/>
          <w:szCs w:val="16"/>
        </w:rPr>
        <w:t xml:space="preserve"> pages 20,4</w:t>
      </w:r>
      <w:r>
        <w:rPr>
          <w:sz w:val="16"/>
          <w:szCs w:val="16"/>
        </w:rPr>
        <w:t>26</w:t>
      </w:r>
      <w:r w:rsidRPr="002D273E">
        <w:rPr>
          <w:sz w:val="16"/>
          <w:szCs w:val="16"/>
        </w:rPr>
        <w:t xml:space="preserve"> – 20,4</w:t>
      </w:r>
      <w:r>
        <w:rPr>
          <w:sz w:val="16"/>
          <w:szCs w:val="16"/>
        </w:rPr>
        <w:t>3</w:t>
      </w:r>
      <w:r w:rsidRPr="002D273E">
        <w:rPr>
          <w:sz w:val="16"/>
          <w:szCs w:val="16"/>
        </w:rPr>
        <w:t>7)</w:t>
      </w:r>
    </w:p>
    <w:p w:rsidR="002D273E" w:rsidRPr="00DB7FE4" w:rsidRDefault="002D273E" w:rsidP="002D273E">
      <w:pPr>
        <w:rPr>
          <w:b/>
          <w:szCs w:val="20"/>
        </w:rPr>
      </w:pPr>
    </w:p>
    <w:p w:rsidR="007E2F06" w:rsidRDefault="004C690F" w:rsidP="007E2F06">
      <w:pPr>
        <w:rPr>
          <w:color w:val="1F497D"/>
          <w:szCs w:val="20"/>
        </w:rPr>
      </w:pPr>
      <w:r w:rsidRPr="004C690F">
        <w:rPr>
          <w:szCs w:val="20"/>
        </w:rPr>
        <w:t xml:space="preserve">We support the CMS’ proposed removal of the PSI-90 </w:t>
      </w:r>
      <w:r>
        <w:rPr>
          <w:szCs w:val="20"/>
        </w:rPr>
        <w:t xml:space="preserve">and infection </w:t>
      </w:r>
      <w:r w:rsidRPr="004C690F">
        <w:rPr>
          <w:szCs w:val="20"/>
        </w:rPr>
        <w:t>measure</w:t>
      </w:r>
      <w:r>
        <w:rPr>
          <w:szCs w:val="20"/>
        </w:rPr>
        <w:t>s</w:t>
      </w:r>
      <w:r w:rsidRPr="004C690F">
        <w:rPr>
          <w:szCs w:val="20"/>
        </w:rPr>
        <w:t xml:space="preserve"> </w:t>
      </w:r>
      <w:r>
        <w:rPr>
          <w:szCs w:val="20"/>
        </w:rPr>
        <w:t>from the VBP program since as previously stated we believe it is inappropriate for the CMS to use the same measure or variation of it in multiple programs</w:t>
      </w:r>
      <w:r w:rsidRPr="004C690F">
        <w:rPr>
          <w:szCs w:val="20"/>
        </w:rPr>
        <w:t>.</w:t>
      </w:r>
      <w:r>
        <w:rPr>
          <w:szCs w:val="20"/>
        </w:rPr>
        <w:t xml:space="preserve"> </w:t>
      </w:r>
      <w:r w:rsidRPr="004C690F">
        <w:rPr>
          <w:b/>
          <w:szCs w:val="20"/>
        </w:rPr>
        <w:t>We</w:t>
      </w:r>
      <w:r w:rsidR="00BB6770" w:rsidRPr="00DB7FE4">
        <w:rPr>
          <w:b/>
          <w:szCs w:val="20"/>
        </w:rPr>
        <w:t xml:space="preserve"> encourage the CMS to eliminate the use of the PSI-90 composite measure</w:t>
      </w:r>
      <w:r w:rsidR="005267F0">
        <w:rPr>
          <w:b/>
          <w:szCs w:val="20"/>
        </w:rPr>
        <w:t xml:space="preserve">, which is comprised of </w:t>
      </w:r>
      <w:r w:rsidR="00FE43A8">
        <w:rPr>
          <w:b/>
          <w:szCs w:val="20"/>
        </w:rPr>
        <w:t>10</w:t>
      </w:r>
      <w:r w:rsidR="005267F0">
        <w:rPr>
          <w:b/>
          <w:szCs w:val="20"/>
        </w:rPr>
        <w:t xml:space="preserve"> individual measures,</w:t>
      </w:r>
      <w:r w:rsidR="00BB6770" w:rsidRPr="00DB7FE4">
        <w:rPr>
          <w:b/>
          <w:szCs w:val="20"/>
        </w:rPr>
        <w:t xml:space="preserve"> from the HAC reduction program since </w:t>
      </w:r>
      <w:r w:rsidR="005D3F22" w:rsidRPr="00DB7FE4">
        <w:rPr>
          <w:b/>
          <w:szCs w:val="20"/>
        </w:rPr>
        <w:t xml:space="preserve">we continue to believe that </w:t>
      </w:r>
      <w:r w:rsidR="00BB6770" w:rsidRPr="00DB7FE4">
        <w:rPr>
          <w:b/>
          <w:szCs w:val="20"/>
        </w:rPr>
        <w:t>this measure lack</w:t>
      </w:r>
      <w:r w:rsidR="005D3F22" w:rsidRPr="00DB7FE4">
        <w:rPr>
          <w:b/>
          <w:szCs w:val="20"/>
        </w:rPr>
        <w:t>s</w:t>
      </w:r>
      <w:r w:rsidR="00BB6770" w:rsidRPr="00DB7FE4">
        <w:rPr>
          <w:b/>
          <w:szCs w:val="20"/>
        </w:rPr>
        <w:t xml:space="preserve"> reliability and should not be used in </w:t>
      </w:r>
      <w:r>
        <w:rPr>
          <w:b/>
          <w:szCs w:val="20"/>
        </w:rPr>
        <w:t>any of the quality-based</w:t>
      </w:r>
      <w:r w:rsidR="00BB6770" w:rsidRPr="00DB7FE4">
        <w:rPr>
          <w:b/>
          <w:szCs w:val="20"/>
        </w:rPr>
        <w:t xml:space="preserve"> program</w:t>
      </w:r>
      <w:r>
        <w:rPr>
          <w:b/>
          <w:szCs w:val="20"/>
        </w:rPr>
        <w:t>s</w:t>
      </w:r>
      <w:r w:rsidR="00BC6D2E">
        <w:rPr>
          <w:b/>
          <w:szCs w:val="20"/>
        </w:rPr>
        <w:t xml:space="preserve">. </w:t>
      </w:r>
      <w:r>
        <w:rPr>
          <w:b/>
          <w:szCs w:val="20"/>
        </w:rPr>
        <w:t>Our specific concerns</w:t>
      </w:r>
      <w:r w:rsidR="009F1A68">
        <w:rPr>
          <w:b/>
          <w:szCs w:val="20"/>
        </w:rPr>
        <w:t xml:space="preserve"> relate to the</w:t>
      </w:r>
      <w:r>
        <w:rPr>
          <w:b/>
          <w:szCs w:val="20"/>
        </w:rPr>
        <w:t>:</w:t>
      </w:r>
    </w:p>
    <w:p w:rsidR="007E2F06" w:rsidRDefault="007E2F06" w:rsidP="007E2F06">
      <w:pPr>
        <w:rPr>
          <w:color w:val="1F497D"/>
          <w:szCs w:val="20"/>
        </w:rPr>
      </w:pPr>
    </w:p>
    <w:p w:rsidR="007E2F06" w:rsidRPr="004C690F" w:rsidRDefault="001323F5" w:rsidP="007E2F06">
      <w:pPr>
        <w:numPr>
          <w:ilvl w:val="0"/>
          <w:numId w:val="19"/>
        </w:numPr>
        <w:rPr>
          <w:rFonts w:eastAsia="Times New Roman"/>
          <w:szCs w:val="20"/>
        </w:rPr>
      </w:pPr>
      <w:r>
        <w:rPr>
          <w:rFonts w:eastAsia="Times New Roman"/>
          <w:szCs w:val="20"/>
        </w:rPr>
        <w:t>Individual c</w:t>
      </w:r>
      <w:r w:rsidR="007E2F06" w:rsidRPr="004C690F">
        <w:rPr>
          <w:rFonts w:eastAsia="Times New Roman"/>
          <w:szCs w:val="20"/>
        </w:rPr>
        <w:t xml:space="preserve">omponent measures </w:t>
      </w:r>
      <w:r>
        <w:rPr>
          <w:rFonts w:eastAsia="Times New Roman"/>
          <w:szCs w:val="20"/>
        </w:rPr>
        <w:t xml:space="preserve">such as the PSI-12 that </w:t>
      </w:r>
      <w:r w:rsidR="007E2F06" w:rsidRPr="004C690F">
        <w:rPr>
          <w:rFonts w:eastAsia="Times New Roman"/>
          <w:szCs w:val="20"/>
        </w:rPr>
        <w:t>includ</w:t>
      </w:r>
      <w:r>
        <w:rPr>
          <w:rFonts w:eastAsia="Times New Roman"/>
          <w:szCs w:val="20"/>
        </w:rPr>
        <w:t>es</w:t>
      </w:r>
      <w:r w:rsidR="007E2F06" w:rsidRPr="004C690F">
        <w:rPr>
          <w:rFonts w:eastAsia="Times New Roman"/>
          <w:szCs w:val="20"/>
        </w:rPr>
        <w:t xml:space="preserve"> post</w:t>
      </w:r>
      <w:r w:rsidR="004C690F">
        <w:rPr>
          <w:rFonts w:eastAsia="Times New Roman"/>
          <w:szCs w:val="20"/>
        </w:rPr>
        <w:t>-</w:t>
      </w:r>
      <w:r w:rsidR="007E2F06" w:rsidRPr="004C690F">
        <w:rPr>
          <w:rFonts w:eastAsia="Times New Roman"/>
          <w:szCs w:val="20"/>
        </w:rPr>
        <w:t xml:space="preserve">operative </w:t>
      </w:r>
      <w:r w:rsidR="008D152B">
        <w:rPr>
          <w:rFonts w:eastAsia="Times New Roman"/>
          <w:szCs w:val="20"/>
        </w:rPr>
        <w:t xml:space="preserve">pulmonary </w:t>
      </w:r>
      <w:r w:rsidR="007E2F06" w:rsidRPr="004C690F">
        <w:rPr>
          <w:rFonts w:eastAsia="Times New Roman"/>
          <w:szCs w:val="20"/>
        </w:rPr>
        <w:t>embolism</w:t>
      </w:r>
      <w:r>
        <w:rPr>
          <w:rFonts w:eastAsia="Times New Roman"/>
          <w:szCs w:val="20"/>
        </w:rPr>
        <w:t xml:space="preserve"> (PE) or deep vein thrombosis (DVT rate)</w:t>
      </w:r>
      <w:r w:rsidR="009F1A68">
        <w:rPr>
          <w:rFonts w:eastAsia="Times New Roman"/>
          <w:szCs w:val="20"/>
        </w:rPr>
        <w:t>, which we believe</w:t>
      </w:r>
      <w:r w:rsidR="007E2F06" w:rsidRPr="004C690F">
        <w:rPr>
          <w:rFonts w:eastAsia="Times New Roman"/>
          <w:szCs w:val="20"/>
        </w:rPr>
        <w:t xml:space="preserve"> are su</w:t>
      </w:r>
      <w:r w:rsidR="004C690F" w:rsidRPr="004C690F">
        <w:rPr>
          <w:rFonts w:eastAsia="Times New Roman"/>
          <w:szCs w:val="20"/>
        </w:rPr>
        <w:t>s</w:t>
      </w:r>
      <w:r w:rsidR="007E2F06" w:rsidRPr="004C690F">
        <w:rPr>
          <w:rFonts w:eastAsia="Times New Roman"/>
          <w:szCs w:val="20"/>
        </w:rPr>
        <w:t>ceptible to survel</w:t>
      </w:r>
      <w:r w:rsidR="004C690F">
        <w:rPr>
          <w:rFonts w:eastAsia="Times New Roman"/>
          <w:szCs w:val="20"/>
        </w:rPr>
        <w:t>l</w:t>
      </w:r>
      <w:r w:rsidR="007E2F06" w:rsidRPr="004C690F">
        <w:rPr>
          <w:rFonts w:eastAsia="Times New Roman"/>
          <w:szCs w:val="20"/>
        </w:rPr>
        <w:t>iance bias</w:t>
      </w:r>
      <w:r>
        <w:rPr>
          <w:rFonts w:eastAsia="Times New Roman"/>
          <w:szCs w:val="20"/>
        </w:rPr>
        <w:t>; and</w:t>
      </w:r>
    </w:p>
    <w:p w:rsidR="007E2F06" w:rsidRPr="004C690F" w:rsidRDefault="009F1A68" w:rsidP="007E2F06">
      <w:pPr>
        <w:numPr>
          <w:ilvl w:val="0"/>
          <w:numId w:val="19"/>
        </w:numPr>
        <w:rPr>
          <w:rFonts w:eastAsia="Times New Roman"/>
          <w:szCs w:val="20"/>
        </w:rPr>
      </w:pPr>
      <w:r>
        <w:rPr>
          <w:rFonts w:eastAsia="Times New Roman"/>
          <w:szCs w:val="20"/>
        </w:rPr>
        <w:t>The a</w:t>
      </w:r>
      <w:r w:rsidR="007E2F06" w:rsidRPr="004C690F">
        <w:rPr>
          <w:rFonts w:eastAsia="Times New Roman"/>
          <w:szCs w:val="20"/>
        </w:rPr>
        <w:t xml:space="preserve">dministrative data used to determine the measures in </w:t>
      </w:r>
      <w:r>
        <w:rPr>
          <w:rFonts w:eastAsia="Times New Roman"/>
          <w:szCs w:val="20"/>
        </w:rPr>
        <w:t xml:space="preserve">the </w:t>
      </w:r>
      <w:r w:rsidR="007E2F06" w:rsidRPr="004C690F">
        <w:rPr>
          <w:rFonts w:eastAsia="Times New Roman"/>
          <w:szCs w:val="20"/>
        </w:rPr>
        <w:t xml:space="preserve">PSI-90 </w:t>
      </w:r>
      <w:r>
        <w:rPr>
          <w:rFonts w:eastAsia="Times New Roman"/>
          <w:szCs w:val="20"/>
        </w:rPr>
        <w:t xml:space="preserve">lack clinical precision for </w:t>
      </w:r>
      <w:r w:rsidR="007E2F06" w:rsidRPr="004C690F">
        <w:rPr>
          <w:rFonts w:eastAsia="Times New Roman"/>
          <w:szCs w:val="20"/>
        </w:rPr>
        <w:t>accurate</w:t>
      </w:r>
      <w:r>
        <w:rPr>
          <w:rFonts w:eastAsia="Times New Roman"/>
          <w:szCs w:val="20"/>
        </w:rPr>
        <w:t xml:space="preserve">ly </w:t>
      </w:r>
      <w:r w:rsidR="007E2F06" w:rsidRPr="004C690F">
        <w:rPr>
          <w:rFonts w:eastAsia="Times New Roman"/>
          <w:szCs w:val="20"/>
        </w:rPr>
        <w:t>identify</w:t>
      </w:r>
      <w:r>
        <w:rPr>
          <w:rFonts w:eastAsia="Times New Roman"/>
          <w:szCs w:val="20"/>
        </w:rPr>
        <w:t>ing</w:t>
      </w:r>
      <w:r w:rsidR="007E2F06" w:rsidRPr="004C690F">
        <w:rPr>
          <w:rFonts w:eastAsia="Times New Roman"/>
          <w:szCs w:val="20"/>
        </w:rPr>
        <w:t xml:space="preserve"> patient safety issues </w:t>
      </w:r>
      <w:r w:rsidR="004C690F">
        <w:rPr>
          <w:rFonts w:eastAsia="Times New Roman"/>
          <w:szCs w:val="20"/>
        </w:rPr>
        <w:t>such as</w:t>
      </w:r>
      <w:r w:rsidR="007E2F06" w:rsidRPr="004C690F">
        <w:rPr>
          <w:rFonts w:eastAsia="Times New Roman"/>
          <w:szCs w:val="20"/>
        </w:rPr>
        <w:t xml:space="preserve"> accidental punctures or lacerations</w:t>
      </w:r>
    </w:p>
    <w:bookmarkEnd w:id="1"/>
    <w:p w:rsidR="007E2F06" w:rsidRPr="004C690F" w:rsidRDefault="007E2F06" w:rsidP="007E2F06">
      <w:pPr>
        <w:rPr>
          <w:szCs w:val="20"/>
        </w:rPr>
      </w:pPr>
    </w:p>
    <w:p w:rsidR="00CF0B67" w:rsidRDefault="00F16152" w:rsidP="001A1397">
      <w:pPr>
        <w:autoSpaceDE w:val="0"/>
        <w:autoSpaceDN w:val="0"/>
        <w:adjustRightInd w:val="0"/>
        <w:rPr>
          <w:b/>
          <w:color w:val="000000"/>
          <w:szCs w:val="20"/>
          <w:u w:val="single"/>
        </w:rPr>
      </w:pPr>
      <w:r w:rsidRPr="00F16152">
        <w:rPr>
          <w:b/>
          <w:color w:val="000000"/>
          <w:szCs w:val="20"/>
          <w:u w:val="single"/>
        </w:rPr>
        <w:t>Medicare Cost Report Submission Requirements</w:t>
      </w:r>
    </w:p>
    <w:p w:rsidR="00F16152" w:rsidRPr="00F16152" w:rsidRDefault="00F16152" w:rsidP="001A1397">
      <w:pPr>
        <w:autoSpaceDE w:val="0"/>
        <w:autoSpaceDN w:val="0"/>
        <w:adjustRightInd w:val="0"/>
        <w:rPr>
          <w:i/>
          <w:color w:val="000000"/>
          <w:szCs w:val="20"/>
        </w:rPr>
      </w:pPr>
      <w:r w:rsidRPr="00F16152">
        <w:rPr>
          <w:i/>
          <w:color w:val="000000"/>
          <w:szCs w:val="20"/>
        </w:rPr>
        <w:t>(Federal Register pages</w:t>
      </w:r>
      <w:r w:rsidR="00571A24">
        <w:rPr>
          <w:i/>
          <w:color w:val="000000"/>
          <w:szCs w:val="20"/>
        </w:rPr>
        <w:t xml:space="preserve"> 20,544 – 20,548</w:t>
      </w:r>
      <w:r w:rsidRPr="00F16152">
        <w:rPr>
          <w:i/>
          <w:color w:val="000000"/>
          <w:szCs w:val="20"/>
        </w:rPr>
        <w:t>)</w:t>
      </w:r>
    </w:p>
    <w:p w:rsidR="00F16152" w:rsidRDefault="00F16152" w:rsidP="001A1397">
      <w:pPr>
        <w:autoSpaceDE w:val="0"/>
        <w:autoSpaceDN w:val="0"/>
        <w:adjustRightInd w:val="0"/>
        <w:rPr>
          <w:color w:val="000000"/>
          <w:szCs w:val="20"/>
        </w:rPr>
      </w:pPr>
    </w:p>
    <w:p w:rsidR="0098243E" w:rsidRDefault="00F16152" w:rsidP="001A1397">
      <w:pPr>
        <w:autoSpaceDE w:val="0"/>
        <w:autoSpaceDN w:val="0"/>
        <w:adjustRightInd w:val="0"/>
        <w:rPr>
          <w:color w:val="000000"/>
          <w:szCs w:val="20"/>
        </w:rPr>
      </w:pPr>
      <w:r>
        <w:rPr>
          <w:color w:val="000000"/>
          <w:szCs w:val="20"/>
        </w:rPr>
        <w:t xml:space="preserve">For Medicare disproportionate share hospital (DSH) payment purposes, the CMS proposes to require that hospitals provide a listing of Medicaid-eligible patient days to the MAC when the cost report is filed, generally five months after the </w:t>
      </w:r>
      <w:r w:rsidR="00660DFC">
        <w:rPr>
          <w:color w:val="000000"/>
          <w:szCs w:val="20"/>
        </w:rPr>
        <w:t>hospital’s fiscal year end</w:t>
      </w:r>
      <w:r>
        <w:rPr>
          <w:color w:val="000000"/>
          <w:szCs w:val="20"/>
        </w:rPr>
        <w:t>. This data is used to determine both the traditional Medicare DSH and each hospital’s share of uncompensated care pool payments. Currently, hospitals provide this detail to the MAC upon audit, typically several years after the</w:t>
      </w:r>
      <w:r w:rsidR="00660DFC">
        <w:rPr>
          <w:color w:val="000000"/>
          <w:szCs w:val="20"/>
        </w:rPr>
        <w:t>ir fiscal year end</w:t>
      </w:r>
      <w:r>
        <w:rPr>
          <w:color w:val="000000"/>
          <w:szCs w:val="20"/>
        </w:rPr>
        <w:t>.</w:t>
      </w:r>
    </w:p>
    <w:p w:rsidR="0098243E" w:rsidRDefault="0098243E" w:rsidP="001A1397">
      <w:pPr>
        <w:autoSpaceDE w:val="0"/>
        <w:autoSpaceDN w:val="0"/>
        <w:adjustRightInd w:val="0"/>
        <w:rPr>
          <w:color w:val="000000"/>
          <w:szCs w:val="20"/>
        </w:rPr>
      </w:pPr>
    </w:p>
    <w:p w:rsidR="0098243E" w:rsidRDefault="0098243E" w:rsidP="001A1397">
      <w:pPr>
        <w:autoSpaceDE w:val="0"/>
        <w:autoSpaceDN w:val="0"/>
        <w:adjustRightInd w:val="0"/>
        <w:rPr>
          <w:color w:val="000000"/>
          <w:szCs w:val="20"/>
        </w:rPr>
      </w:pPr>
      <w:r>
        <w:rPr>
          <w:color w:val="000000"/>
          <w:szCs w:val="20"/>
        </w:rPr>
        <w:t>Based on current practice, hospitals estimate the number of Medicaid-eligible patient days when filing their cost report since Medicaid eligibility is pending for many patients. Hospitals are then given an opportunity to submit a revi</w:t>
      </w:r>
      <w:r w:rsidR="00660DFC">
        <w:rPr>
          <w:color w:val="000000"/>
          <w:szCs w:val="20"/>
        </w:rPr>
        <w:t>s</w:t>
      </w:r>
      <w:r>
        <w:rPr>
          <w:color w:val="000000"/>
          <w:szCs w:val="20"/>
        </w:rPr>
        <w:t>e</w:t>
      </w:r>
      <w:r w:rsidR="00660DFC">
        <w:rPr>
          <w:color w:val="000000"/>
          <w:szCs w:val="20"/>
        </w:rPr>
        <w:t>d</w:t>
      </w:r>
      <w:r>
        <w:rPr>
          <w:color w:val="000000"/>
          <w:szCs w:val="20"/>
        </w:rPr>
        <w:t xml:space="preserve"> listing prior to the beginning of the desk review or audit which will be used by the MAC to update the Medicaid-eligible patient days. Generally, compared to the filed cost report, hospitals see an increase in the number of Medicaid-eligible days when the listing is provided to the MAC prior to the desk review or audit.</w:t>
      </w:r>
    </w:p>
    <w:p w:rsidR="0098243E" w:rsidRDefault="0098243E" w:rsidP="001A1397">
      <w:pPr>
        <w:autoSpaceDE w:val="0"/>
        <w:autoSpaceDN w:val="0"/>
        <w:adjustRightInd w:val="0"/>
        <w:rPr>
          <w:color w:val="000000"/>
          <w:szCs w:val="20"/>
        </w:rPr>
      </w:pPr>
    </w:p>
    <w:p w:rsidR="00F16152" w:rsidRPr="0098243E" w:rsidRDefault="0098243E" w:rsidP="001A1397">
      <w:pPr>
        <w:autoSpaceDE w:val="0"/>
        <w:autoSpaceDN w:val="0"/>
        <w:adjustRightInd w:val="0"/>
        <w:rPr>
          <w:b/>
          <w:color w:val="000000"/>
          <w:szCs w:val="20"/>
        </w:rPr>
      </w:pPr>
      <w:r>
        <w:rPr>
          <w:color w:val="000000"/>
          <w:szCs w:val="20"/>
        </w:rPr>
        <w:t xml:space="preserve">We believe that Medicare DSH payment should be determined using the most accurate data, which is not available when the cost report is filed due to delays in verifying Medicaid eligibility for patients. </w:t>
      </w:r>
      <w:r w:rsidRPr="0098243E">
        <w:rPr>
          <w:b/>
          <w:color w:val="000000"/>
          <w:szCs w:val="20"/>
        </w:rPr>
        <w:t xml:space="preserve">The MHA urges the CMS to modify </w:t>
      </w:r>
      <w:r w:rsidR="00660DFC">
        <w:rPr>
          <w:b/>
          <w:color w:val="000000"/>
          <w:szCs w:val="20"/>
        </w:rPr>
        <w:t>this</w:t>
      </w:r>
      <w:r w:rsidRPr="0098243E">
        <w:rPr>
          <w:b/>
          <w:color w:val="000000"/>
          <w:szCs w:val="20"/>
        </w:rPr>
        <w:t xml:space="preserve"> proposal to allow hospitals to provide an updated listing when the MAC begins the desk review or audit</w:t>
      </w:r>
      <w:r>
        <w:rPr>
          <w:b/>
          <w:color w:val="000000"/>
          <w:szCs w:val="20"/>
        </w:rPr>
        <w:t xml:space="preserve"> without requiring hospital</w:t>
      </w:r>
      <w:r w:rsidR="00660DFC">
        <w:rPr>
          <w:b/>
          <w:color w:val="000000"/>
          <w:szCs w:val="20"/>
        </w:rPr>
        <w:t>s</w:t>
      </w:r>
      <w:r>
        <w:rPr>
          <w:b/>
          <w:color w:val="000000"/>
          <w:szCs w:val="20"/>
        </w:rPr>
        <w:t xml:space="preserve"> to amend </w:t>
      </w:r>
      <w:r w:rsidR="00660DFC">
        <w:rPr>
          <w:b/>
          <w:color w:val="000000"/>
          <w:szCs w:val="20"/>
        </w:rPr>
        <w:t xml:space="preserve">their </w:t>
      </w:r>
      <w:r>
        <w:rPr>
          <w:b/>
          <w:color w:val="000000"/>
          <w:szCs w:val="20"/>
        </w:rPr>
        <w:t>cost report</w:t>
      </w:r>
      <w:r w:rsidR="00660DFC">
        <w:rPr>
          <w:b/>
          <w:color w:val="000000"/>
          <w:szCs w:val="20"/>
        </w:rPr>
        <w:t>s</w:t>
      </w:r>
      <w:r w:rsidRPr="0098243E">
        <w:rPr>
          <w:b/>
          <w:color w:val="000000"/>
          <w:szCs w:val="20"/>
        </w:rPr>
        <w:t>.</w:t>
      </w:r>
      <w:r w:rsidR="00F16152" w:rsidRPr="0098243E">
        <w:rPr>
          <w:b/>
          <w:color w:val="000000"/>
          <w:szCs w:val="20"/>
        </w:rPr>
        <w:t xml:space="preserve"> </w:t>
      </w:r>
    </w:p>
    <w:p w:rsidR="00F16152" w:rsidRDefault="00F16152" w:rsidP="001A1397">
      <w:pPr>
        <w:autoSpaceDE w:val="0"/>
        <w:autoSpaceDN w:val="0"/>
        <w:adjustRightInd w:val="0"/>
        <w:rPr>
          <w:b/>
          <w:szCs w:val="20"/>
          <w:u w:val="single"/>
        </w:rPr>
      </w:pPr>
    </w:p>
    <w:p w:rsidR="00342A1F" w:rsidRPr="00DB7FE4" w:rsidRDefault="00342A1F" w:rsidP="001A1397">
      <w:pPr>
        <w:autoSpaceDE w:val="0"/>
        <w:autoSpaceDN w:val="0"/>
        <w:adjustRightInd w:val="0"/>
        <w:rPr>
          <w:b/>
          <w:szCs w:val="20"/>
          <w:u w:val="single"/>
        </w:rPr>
      </w:pPr>
      <w:r w:rsidRPr="00DB7FE4">
        <w:rPr>
          <w:b/>
          <w:szCs w:val="20"/>
          <w:u w:val="single"/>
        </w:rPr>
        <w:t>SUMMARY</w:t>
      </w:r>
    </w:p>
    <w:p w:rsidR="00342A1F" w:rsidRPr="00DB7FE4" w:rsidRDefault="00342A1F" w:rsidP="001A1397">
      <w:pPr>
        <w:autoSpaceDE w:val="0"/>
        <w:autoSpaceDN w:val="0"/>
        <w:adjustRightInd w:val="0"/>
        <w:rPr>
          <w:b/>
          <w:color w:val="000000"/>
          <w:szCs w:val="20"/>
          <w:u w:val="single"/>
        </w:rPr>
      </w:pPr>
    </w:p>
    <w:p w:rsidR="00342A1F" w:rsidRPr="00DB7FE4" w:rsidRDefault="00342A1F" w:rsidP="001A1397">
      <w:pPr>
        <w:rPr>
          <w:szCs w:val="20"/>
        </w:rPr>
      </w:pPr>
      <w:r w:rsidRPr="00DB7FE4">
        <w:rPr>
          <w:szCs w:val="20"/>
        </w:rPr>
        <w:t xml:space="preserve">The MHA appreciates this opportunity to provide comments to the CMS regarding this proposed </w:t>
      </w:r>
      <w:r w:rsidR="00FB376D" w:rsidRPr="00DB7FE4">
        <w:rPr>
          <w:szCs w:val="20"/>
        </w:rPr>
        <w:t>in</w:t>
      </w:r>
      <w:r w:rsidRPr="00DB7FE4">
        <w:rPr>
          <w:szCs w:val="20"/>
        </w:rPr>
        <w:t xml:space="preserve">patient rule. We believe our suggested modifications will result in positive changes for hospitals and the Medicare beneficiaries they serve. If you have questions </w:t>
      </w:r>
      <w:r w:rsidR="00660DFC">
        <w:rPr>
          <w:szCs w:val="20"/>
        </w:rPr>
        <w:t>regarding</w:t>
      </w:r>
      <w:r w:rsidRPr="00DB7FE4">
        <w:rPr>
          <w:szCs w:val="20"/>
        </w:rPr>
        <w:t xml:space="preserve"> this comment letter, please contact </w:t>
      </w:r>
      <w:r w:rsidR="00BC6D2E">
        <w:rPr>
          <w:szCs w:val="20"/>
        </w:rPr>
        <w:t>Vickie Kunz</w:t>
      </w:r>
      <w:r w:rsidRPr="00DB7FE4">
        <w:rPr>
          <w:szCs w:val="20"/>
        </w:rPr>
        <w:t xml:space="preserve"> at (517) 703-860</w:t>
      </w:r>
      <w:r w:rsidR="00BC6D2E">
        <w:rPr>
          <w:szCs w:val="20"/>
        </w:rPr>
        <w:t>8</w:t>
      </w:r>
      <w:r w:rsidRPr="00DB7FE4">
        <w:rPr>
          <w:szCs w:val="20"/>
        </w:rPr>
        <w:t xml:space="preserve"> or </w:t>
      </w:r>
      <w:r w:rsidR="00BC6D2E">
        <w:rPr>
          <w:szCs w:val="20"/>
        </w:rPr>
        <w:t>vkunz</w:t>
      </w:r>
      <w:r w:rsidRPr="00DB7FE4">
        <w:rPr>
          <w:szCs w:val="20"/>
        </w:rPr>
        <w:t>@mha.org.</w:t>
      </w:r>
    </w:p>
    <w:p w:rsidR="00342A1F" w:rsidRPr="00DB7FE4" w:rsidRDefault="00342A1F" w:rsidP="001A1397">
      <w:pPr>
        <w:rPr>
          <w:szCs w:val="20"/>
        </w:rPr>
      </w:pPr>
    </w:p>
    <w:p w:rsidR="00342A1F" w:rsidRPr="00DB7FE4" w:rsidRDefault="00342A1F" w:rsidP="001A1397">
      <w:pPr>
        <w:spacing w:line="221" w:lineRule="auto"/>
        <w:rPr>
          <w:iCs/>
          <w:szCs w:val="20"/>
        </w:rPr>
      </w:pPr>
      <w:r w:rsidRPr="00DB7FE4">
        <w:rPr>
          <w:iCs/>
          <w:szCs w:val="20"/>
        </w:rPr>
        <w:t>Sincerely,</w:t>
      </w:r>
    </w:p>
    <w:p w:rsidR="00D601D1" w:rsidRPr="00DB7FE4" w:rsidRDefault="00D601D1" w:rsidP="001A1397">
      <w:pPr>
        <w:spacing w:line="221" w:lineRule="auto"/>
        <w:rPr>
          <w:iCs/>
          <w:szCs w:val="20"/>
        </w:rPr>
      </w:pPr>
    </w:p>
    <w:p w:rsidR="00D601D1" w:rsidRPr="00DB7FE4" w:rsidRDefault="00D601D1" w:rsidP="001A1397">
      <w:pPr>
        <w:spacing w:line="221" w:lineRule="auto"/>
        <w:rPr>
          <w:iCs/>
          <w:szCs w:val="20"/>
        </w:rPr>
      </w:pPr>
    </w:p>
    <w:p w:rsidR="00342A1F" w:rsidRPr="00DB7FE4" w:rsidRDefault="00342A1F" w:rsidP="001A1397">
      <w:pPr>
        <w:spacing w:line="221" w:lineRule="auto"/>
        <w:rPr>
          <w:iCs/>
          <w:szCs w:val="20"/>
        </w:rPr>
      </w:pPr>
    </w:p>
    <w:p w:rsidR="00342A1F" w:rsidRPr="00DB7FE4" w:rsidRDefault="00342A1F" w:rsidP="001A1397">
      <w:pPr>
        <w:spacing w:line="221" w:lineRule="auto"/>
        <w:rPr>
          <w:iCs/>
          <w:szCs w:val="20"/>
        </w:rPr>
      </w:pPr>
      <w:r w:rsidRPr="00DB7FE4">
        <w:rPr>
          <w:iCs/>
          <w:szCs w:val="20"/>
        </w:rPr>
        <w:t>Marilyn Litka-Klein</w:t>
      </w:r>
    </w:p>
    <w:p w:rsidR="00342A1F" w:rsidRPr="00DB7FE4" w:rsidRDefault="00342A1F" w:rsidP="001A1397">
      <w:pPr>
        <w:spacing w:line="221" w:lineRule="auto"/>
        <w:rPr>
          <w:iCs/>
          <w:szCs w:val="20"/>
        </w:rPr>
      </w:pPr>
      <w:r w:rsidRPr="00DB7FE4">
        <w:rPr>
          <w:iCs/>
          <w:szCs w:val="20"/>
        </w:rPr>
        <w:t xml:space="preserve">Vice President, Health Finance </w:t>
      </w:r>
    </w:p>
    <w:p w:rsidR="00342A1F" w:rsidRPr="00DB7FE4" w:rsidRDefault="00342A1F" w:rsidP="001A1397">
      <w:pPr>
        <w:spacing w:line="221" w:lineRule="auto"/>
        <w:rPr>
          <w:b/>
          <w:szCs w:val="20"/>
        </w:rPr>
      </w:pPr>
      <w:r w:rsidRPr="00DB7FE4">
        <w:rPr>
          <w:iCs/>
          <w:szCs w:val="20"/>
        </w:rPr>
        <w:t>Policy and Health Delivery</w:t>
      </w:r>
    </w:p>
    <w:p w:rsidR="001A11BB" w:rsidRPr="00DB7FE4" w:rsidRDefault="001A11BB" w:rsidP="001A1397">
      <w:pPr>
        <w:rPr>
          <w:szCs w:val="20"/>
        </w:rPr>
      </w:pPr>
    </w:p>
    <w:p w:rsidR="001A11BB" w:rsidRPr="00DB7FE4" w:rsidRDefault="001A11BB" w:rsidP="001A1397">
      <w:pPr>
        <w:rPr>
          <w:szCs w:val="20"/>
        </w:rPr>
      </w:pPr>
    </w:p>
    <w:sectPr w:rsidR="001A11BB" w:rsidRPr="00DB7FE4" w:rsidSect="00AB0265">
      <w:headerReference w:type="default" r:id="rId11"/>
      <w:headerReference w:type="first" r:id="rId12"/>
      <w:footerReference w:type="first" r:id="rId13"/>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0097" w:rsidRDefault="00960097" w:rsidP="00A45407">
      <w:r>
        <w:separator/>
      </w:r>
    </w:p>
  </w:endnote>
  <w:endnote w:type="continuationSeparator" w:id="0">
    <w:p w:rsidR="00960097" w:rsidRDefault="00960097" w:rsidP="00A45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32D5" w:rsidRDefault="003A32D5">
    <w:pPr>
      <w:pStyle w:val="Footer"/>
    </w:pPr>
    <w:r>
      <w:rPr>
        <w:noProof/>
      </w:rPr>
      <w:drawing>
        <wp:anchor distT="0" distB="0" distL="114300" distR="114300" simplePos="0" relativeHeight="251659264" behindDoc="0" locked="0" layoutInCell="1" allowOverlap="1" wp14:anchorId="6F13E501" wp14:editId="69453E3D">
          <wp:simplePos x="0" y="0"/>
          <wp:positionH relativeFrom="page">
            <wp:align>center</wp:align>
          </wp:positionH>
          <wp:positionV relativeFrom="page">
            <wp:align>bottom</wp:align>
          </wp:positionV>
          <wp:extent cx="7803367" cy="859536"/>
          <wp:effectExtent l="0" t="0" r="0" b="444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_mha_hq.jpg"/>
                  <pic:cNvPicPr/>
                </pic:nvPicPr>
                <pic:blipFill>
                  <a:blip r:embed="rId1">
                    <a:extLst>
                      <a:ext uri="{28A0092B-C50C-407E-A947-70E740481C1C}">
                        <a14:useLocalDpi xmlns:a14="http://schemas.microsoft.com/office/drawing/2010/main" val="0"/>
                      </a:ext>
                    </a:extLst>
                  </a:blip>
                  <a:stretch>
                    <a:fillRect/>
                  </a:stretch>
                </pic:blipFill>
                <pic:spPr>
                  <a:xfrm>
                    <a:off x="0" y="0"/>
                    <a:ext cx="7803367" cy="85953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0097" w:rsidRDefault="00960097" w:rsidP="00A45407">
      <w:r>
        <w:separator/>
      </w:r>
    </w:p>
  </w:footnote>
  <w:footnote w:type="continuationSeparator" w:id="0">
    <w:p w:rsidR="00960097" w:rsidRDefault="00960097" w:rsidP="00A454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32D5" w:rsidRDefault="003A32D5" w:rsidP="00AB0265">
    <w:pPr>
      <w:pStyle w:val="BodyText"/>
      <w:ind w:left="14"/>
    </w:pPr>
  </w:p>
  <w:p w:rsidR="003A32D5" w:rsidRPr="00574179" w:rsidRDefault="003A32D5" w:rsidP="00342A1F">
    <w:pPr>
      <w:rPr>
        <w:b/>
        <w:sz w:val="24"/>
      </w:rPr>
    </w:pPr>
    <w:r w:rsidRPr="003D6174">
      <w:rPr>
        <w:szCs w:val="20"/>
      </w:rPr>
      <w:t xml:space="preserve">Michigan Health &amp; Hospital Association (MHA) </w:t>
    </w:r>
    <w:r>
      <w:rPr>
        <w:szCs w:val="20"/>
      </w:rPr>
      <w:t xml:space="preserve"> - D R A F T</w:t>
    </w:r>
  </w:p>
  <w:p w:rsidR="003A32D5" w:rsidRPr="003D6174" w:rsidRDefault="003A32D5" w:rsidP="00342A1F">
    <w:pPr>
      <w:rPr>
        <w:szCs w:val="20"/>
      </w:rPr>
    </w:pPr>
    <w:r w:rsidRPr="003D6174">
      <w:rPr>
        <w:szCs w:val="20"/>
      </w:rPr>
      <w:t>Comments – Medicare 201</w:t>
    </w:r>
    <w:r>
      <w:rPr>
        <w:szCs w:val="20"/>
      </w:rPr>
      <w:t>9</w:t>
    </w:r>
    <w:r w:rsidRPr="003D6174">
      <w:rPr>
        <w:szCs w:val="20"/>
      </w:rPr>
      <w:t xml:space="preserve"> IPPS Proposed Rule</w:t>
    </w:r>
  </w:p>
  <w:p w:rsidR="003A32D5" w:rsidRPr="003D6174" w:rsidRDefault="003A32D5" w:rsidP="00342A1F">
    <w:pPr>
      <w:rPr>
        <w:szCs w:val="20"/>
      </w:rPr>
    </w:pPr>
    <w:r w:rsidRPr="003D6174">
      <w:rPr>
        <w:szCs w:val="20"/>
      </w:rPr>
      <w:t xml:space="preserve">June </w:t>
    </w:r>
    <w:r>
      <w:rPr>
        <w:szCs w:val="20"/>
      </w:rPr>
      <w:t>15,</w:t>
    </w:r>
    <w:r w:rsidRPr="003D6174">
      <w:rPr>
        <w:szCs w:val="20"/>
      </w:rPr>
      <w:t xml:space="preserve"> 201</w:t>
    </w:r>
    <w:r>
      <w:rPr>
        <w:szCs w:val="20"/>
      </w:rPr>
      <w:t>8</w:t>
    </w:r>
  </w:p>
  <w:p w:rsidR="003A32D5" w:rsidRPr="003D6174" w:rsidRDefault="003A32D5" w:rsidP="00342A1F">
    <w:pPr>
      <w:rPr>
        <w:szCs w:val="20"/>
      </w:rPr>
    </w:pPr>
    <w:r w:rsidRPr="003D6174">
      <w:rPr>
        <w:szCs w:val="20"/>
      </w:rPr>
      <w:t xml:space="preserve">Page </w:t>
    </w:r>
    <w:r w:rsidRPr="003D6174">
      <w:rPr>
        <w:szCs w:val="20"/>
      </w:rPr>
      <w:fldChar w:fldCharType="begin"/>
    </w:r>
    <w:r w:rsidRPr="003D6174">
      <w:rPr>
        <w:szCs w:val="20"/>
      </w:rPr>
      <w:instrText xml:space="preserve"> PAGE   \* MERGEFORMAT </w:instrText>
    </w:r>
    <w:r w:rsidRPr="003D6174">
      <w:rPr>
        <w:szCs w:val="20"/>
      </w:rPr>
      <w:fldChar w:fldCharType="separate"/>
    </w:r>
    <w:r w:rsidR="009D783C">
      <w:rPr>
        <w:noProof/>
        <w:szCs w:val="20"/>
      </w:rPr>
      <w:t>3</w:t>
    </w:r>
    <w:r w:rsidRPr="003D6174">
      <w:rPr>
        <w:noProof/>
        <w:szCs w:val="20"/>
      </w:rPr>
      <w:fldChar w:fldCharType="end"/>
    </w:r>
    <w:r w:rsidRPr="003D6174">
      <w:rPr>
        <w:noProof/>
        <w:szCs w:val="20"/>
      </w:rPr>
      <w:t xml:space="preserve"> </w:t>
    </w:r>
  </w:p>
  <w:p w:rsidR="003A32D5" w:rsidRPr="003D6174" w:rsidRDefault="003A32D5">
    <w:pPr>
      <w:pStyle w:val="Header"/>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32D5" w:rsidRDefault="003A32D5">
    <w:pPr>
      <w:pStyle w:val="Header"/>
    </w:pPr>
    <w:r>
      <w:rPr>
        <w:noProof/>
      </w:rPr>
      <w:drawing>
        <wp:anchor distT="0" distB="0" distL="114300" distR="114300" simplePos="0" relativeHeight="251658240" behindDoc="0" locked="0" layoutInCell="1" allowOverlap="1" wp14:anchorId="4679E08D" wp14:editId="4CA84961">
          <wp:simplePos x="0" y="0"/>
          <wp:positionH relativeFrom="page">
            <wp:align>center</wp:align>
          </wp:positionH>
          <wp:positionV relativeFrom="page">
            <wp:align>top</wp:align>
          </wp:positionV>
          <wp:extent cx="7772400" cy="1389888"/>
          <wp:effectExtent l="0" t="0" r="0" b="7620"/>
          <wp:wrapTight wrapText="bothSides">
            <wp:wrapPolygon edited="0">
              <wp:start x="0" y="0"/>
              <wp:lineTo x="0" y="21324"/>
              <wp:lineTo x="21529" y="21324"/>
              <wp:lineTo x="2152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mha_hq.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3898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70C2B"/>
    <w:multiLevelType w:val="hybridMultilevel"/>
    <w:tmpl w:val="1D4C6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F00EC5"/>
    <w:multiLevelType w:val="hybridMultilevel"/>
    <w:tmpl w:val="CCFECBB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A1D12D0"/>
    <w:multiLevelType w:val="hybridMultilevel"/>
    <w:tmpl w:val="F642D810"/>
    <w:lvl w:ilvl="0" w:tplc="04090001">
      <w:start w:val="1"/>
      <w:numFmt w:val="bullet"/>
      <w:lvlText w:val=""/>
      <w:lvlJc w:val="left"/>
      <w:pPr>
        <w:ind w:left="820" w:hanging="360"/>
      </w:pPr>
      <w:rPr>
        <w:rFonts w:ascii="Symbol" w:hAnsi="Symbol" w:hint="default"/>
        <w:w w:val="100"/>
        <w:sz w:val="22"/>
        <w:szCs w:val="22"/>
      </w:rPr>
    </w:lvl>
    <w:lvl w:ilvl="1" w:tplc="ED743F3E">
      <w:start w:val="1"/>
      <w:numFmt w:val="bullet"/>
      <w:lvlText w:val="o"/>
      <w:lvlJc w:val="left"/>
      <w:pPr>
        <w:ind w:left="1540" w:hanging="360"/>
      </w:pPr>
      <w:rPr>
        <w:rFonts w:ascii="Courier New" w:eastAsia="Courier New" w:hAnsi="Courier New" w:cs="Courier New" w:hint="default"/>
        <w:w w:val="100"/>
        <w:sz w:val="22"/>
        <w:szCs w:val="22"/>
      </w:rPr>
    </w:lvl>
    <w:lvl w:ilvl="2" w:tplc="86388D08">
      <w:start w:val="1"/>
      <w:numFmt w:val="bullet"/>
      <w:lvlText w:val="•"/>
      <w:lvlJc w:val="left"/>
      <w:pPr>
        <w:ind w:left="2431" w:hanging="360"/>
      </w:pPr>
      <w:rPr>
        <w:rFonts w:hint="default"/>
      </w:rPr>
    </w:lvl>
    <w:lvl w:ilvl="3" w:tplc="D102B638">
      <w:start w:val="1"/>
      <w:numFmt w:val="bullet"/>
      <w:lvlText w:val="•"/>
      <w:lvlJc w:val="left"/>
      <w:pPr>
        <w:ind w:left="3322" w:hanging="360"/>
      </w:pPr>
      <w:rPr>
        <w:rFonts w:hint="default"/>
      </w:rPr>
    </w:lvl>
    <w:lvl w:ilvl="4" w:tplc="2708BCD8">
      <w:start w:val="1"/>
      <w:numFmt w:val="bullet"/>
      <w:lvlText w:val="•"/>
      <w:lvlJc w:val="left"/>
      <w:pPr>
        <w:ind w:left="4213" w:hanging="360"/>
      </w:pPr>
      <w:rPr>
        <w:rFonts w:hint="default"/>
      </w:rPr>
    </w:lvl>
    <w:lvl w:ilvl="5" w:tplc="2BCA423E">
      <w:start w:val="1"/>
      <w:numFmt w:val="bullet"/>
      <w:lvlText w:val="•"/>
      <w:lvlJc w:val="left"/>
      <w:pPr>
        <w:ind w:left="5104" w:hanging="360"/>
      </w:pPr>
      <w:rPr>
        <w:rFonts w:hint="default"/>
      </w:rPr>
    </w:lvl>
    <w:lvl w:ilvl="6" w:tplc="945C3BDE">
      <w:start w:val="1"/>
      <w:numFmt w:val="bullet"/>
      <w:lvlText w:val="•"/>
      <w:lvlJc w:val="left"/>
      <w:pPr>
        <w:ind w:left="5995" w:hanging="360"/>
      </w:pPr>
      <w:rPr>
        <w:rFonts w:hint="default"/>
      </w:rPr>
    </w:lvl>
    <w:lvl w:ilvl="7" w:tplc="21869498">
      <w:start w:val="1"/>
      <w:numFmt w:val="bullet"/>
      <w:lvlText w:val="•"/>
      <w:lvlJc w:val="left"/>
      <w:pPr>
        <w:ind w:left="6886" w:hanging="360"/>
      </w:pPr>
      <w:rPr>
        <w:rFonts w:hint="default"/>
      </w:rPr>
    </w:lvl>
    <w:lvl w:ilvl="8" w:tplc="0E5E8A0A">
      <w:start w:val="1"/>
      <w:numFmt w:val="bullet"/>
      <w:lvlText w:val="•"/>
      <w:lvlJc w:val="left"/>
      <w:pPr>
        <w:ind w:left="7777" w:hanging="360"/>
      </w:pPr>
      <w:rPr>
        <w:rFonts w:hint="default"/>
      </w:rPr>
    </w:lvl>
  </w:abstractNum>
  <w:abstractNum w:abstractNumId="3" w15:restartNumberingAfterBreak="0">
    <w:nsid w:val="1A207C0C"/>
    <w:multiLevelType w:val="hybridMultilevel"/>
    <w:tmpl w:val="9A424AC8"/>
    <w:lvl w:ilvl="0" w:tplc="04090003">
      <w:start w:val="1"/>
      <w:numFmt w:val="bullet"/>
      <w:lvlText w:val="o"/>
      <w:lvlJc w:val="left"/>
      <w:pPr>
        <w:ind w:left="820" w:hanging="360"/>
      </w:pPr>
      <w:rPr>
        <w:rFonts w:ascii="Courier New" w:hAnsi="Courier New" w:cs="Courier New" w:hint="default"/>
        <w:w w:val="100"/>
        <w:sz w:val="22"/>
        <w:szCs w:val="22"/>
      </w:rPr>
    </w:lvl>
    <w:lvl w:ilvl="1" w:tplc="ED743F3E">
      <w:start w:val="1"/>
      <w:numFmt w:val="bullet"/>
      <w:lvlText w:val="o"/>
      <w:lvlJc w:val="left"/>
      <w:pPr>
        <w:ind w:left="1540" w:hanging="360"/>
      </w:pPr>
      <w:rPr>
        <w:rFonts w:ascii="Courier New" w:eastAsia="Courier New" w:hAnsi="Courier New" w:cs="Courier New" w:hint="default"/>
        <w:w w:val="100"/>
        <w:sz w:val="22"/>
        <w:szCs w:val="22"/>
      </w:rPr>
    </w:lvl>
    <w:lvl w:ilvl="2" w:tplc="86388D08">
      <w:start w:val="1"/>
      <w:numFmt w:val="bullet"/>
      <w:lvlText w:val="•"/>
      <w:lvlJc w:val="left"/>
      <w:pPr>
        <w:ind w:left="2431" w:hanging="360"/>
      </w:pPr>
      <w:rPr>
        <w:rFonts w:hint="default"/>
      </w:rPr>
    </w:lvl>
    <w:lvl w:ilvl="3" w:tplc="D102B638">
      <w:start w:val="1"/>
      <w:numFmt w:val="bullet"/>
      <w:lvlText w:val="•"/>
      <w:lvlJc w:val="left"/>
      <w:pPr>
        <w:ind w:left="3322" w:hanging="360"/>
      </w:pPr>
      <w:rPr>
        <w:rFonts w:hint="default"/>
      </w:rPr>
    </w:lvl>
    <w:lvl w:ilvl="4" w:tplc="2708BCD8">
      <w:start w:val="1"/>
      <w:numFmt w:val="bullet"/>
      <w:lvlText w:val="•"/>
      <w:lvlJc w:val="left"/>
      <w:pPr>
        <w:ind w:left="4213" w:hanging="360"/>
      </w:pPr>
      <w:rPr>
        <w:rFonts w:hint="default"/>
      </w:rPr>
    </w:lvl>
    <w:lvl w:ilvl="5" w:tplc="2BCA423E">
      <w:start w:val="1"/>
      <w:numFmt w:val="bullet"/>
      <w:lvlText w:val="•"/>
      <w:lvlJc w:val="left"/>
      <w:pPr>
        <w:ind w:left="5104" w:hanging="360"/>
      </w:pPr>
      <w:rPr>
        <w:rFonts w:hint="default"/>
      </w:rPr>
    </w:lvl>
    <w:lvl w:ilvl="6" w:tplc="945C3BDE">
      <w:start w:val="1"/>
      <w:numFmt w:val="bullet"/>
      <w:lvlText w:val="•"/>
      <w:lvlJc w:val="left"/>
      <w:pPr>
        <w:ind w:left="5995" w:hanging="360"/>
      </w:pPr>
      <w:rPr>
        <w:rFonts w:hint="default"/>
      </w:rPr>
    </w:lvl>
    <w:lvl w:ilvl="7" w:tplc="21869498">
      <w:start w:val="1"/>
      <w:numFmt w:val="bullet"/>
      <w:lvlText w:val="•"/>
      <w:lvlJc w:val="left"/>
      <w:pPr>
        <w:ind w:left="6886" w:hanging="360"/>
      </w:pPr>
      <w:rPr>
        <w:rFonts w:hint="default"/>
      </w:rPr>
    </w:lvl>
    <w:lvl w:ilvl="8" w:tplc="0E5E8A0A">
      <w:start w:val="1"/>
      <w:numFmt w:val="bullet"/>
      <w:lvlText w:val="•"/>
      <w:lvlJc w:val="left"/>
      <w:pPr>
        <w:ind w:left="7777" w:hanging="360"/>
      </w:pPr>
      <w:rPr>
        <w:rFonts w:hint="default"/>
      </w:rPr>
    </w:lvl>
  </w:abstractNum>
  <w:abstractNum w:abstractNumId="4" w15:restartNumberingAfterBreak="0">
    <w:nsid w:val="22386CD6"/>
    <w:multiLevelType w:val="hybridMultilevel"/>
    <w:tmpl w:val="50E25B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26B2595"/>
    <w:multiLevelType w:val="hybridMultilevel"/>
    <w:tmpl w:val="E5408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89076F"/>
    <w:multiLevelType w:val="hybridMultilevel"/>
    <w:tmpl w:val="DFA0A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FB27846"/>
    <w:multiLevelType w:val="hybridMultilevel"/>
    <w:tmpl w:val="C486C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A212D1"/>
    <w:multiLevelType w:val="hybridMultilevel"/>
    <w:tmpl w:val="EC2610E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49FC1ECC"/>
    <w:multiLevelType w:val="hybridMultilevel"/>
    <w:tmpl w:val="6184A07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4BDF74F8"/>
    <w:multiLevelType w:val="hybridMultilevel"/>
    <w:tmpl w:val="479E0D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D97D45"/>
    <w:multiLevelType w:val="hybridMultilevel"/>
    <w:tmpl w:val="126037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CB64FD"/>
    <w:multiLevelType w:val="hybridMultilevel"/>
    <w:tmpl w:val="0478D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D647AE"/>
    <w:multiLevelType w:val="hybridMultilevel"/>
    <w:tmpl w:val="9AD43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2E73D7"/>
    <w:multiLevelType w:val="hybridMultilevel"/>
    <w:tmpl w:val="852A238E"/>
    <w:lvl w:ilvl="0" w:tplc="04090001">
      <w:start w:val="1"/>
      <w:numFmt w:val="bullet"/>
      <w:lvlText w:val=""/>
      <w:lvlJc w:val="left"/>
      <w:pPr>
        <w:ind w:left="820" w:hanging="360"/>
      </w:pPr>
      <w:rPr>
        <w:rFonts w:ascii="Symbol" w:hAnsi="Symbol" w:hint="default"/>
        <w:w w:val="100"/>
        <w:sz w:val="22"/>
        <w:szCs w:val="22"/>
      </w:rPr>
    </w:lvl>
    <w:lvl w:ilvl="1" w:tplc="ED743F3E">
      <w:start w:val="1"/>
      <w:numFmt w:val="bullet"/>
      <w:lvlText w:val="o"/>
      <w:lvlJc w:val="left"/>
      <w:pPr>
        <w:ind w:left="1540" w:hanging="360"/>
      </w:pPr>
      <w:rPr>
        <w:rFonts w:ascii="Courier New" w:eastAsia="Courier New" w:hAnsi="Courier New" w:cs="Courier New" w:hint="default"/>
        <w:w w:val="100"/>
        <w:sz w:val="22"/>
        <w:szCs w:val="22"/>
      </w:rPr>
    </w:lvl>
    <w:lvl w:ilvl="2" w:tplc="86388D08">
      <w:start w:val="1"/>
      <w:numFmt w:val="bullet"/>
      <w:lvlText w:val="•"/>
      <w:lvlJc w:val="left"/>
      <w:pPr>
        <w:ind w:left="2431" w:hanging="360"/>
      </w:pPr>
      <w:rPr>
        <w:rFonts w:hint="default"/>
      </w:rPr>
    </w:lvl>
    <w:lvl w:ilvl="3" w:tplc="D102B638">
      <w:start w:val="1"/>
      <w:numFmt w:val="bullet"/>
      <w:lvlText w:val="•"/>
      <w:lvlJc w:val="left"/>
      <w:pPr>
        <w:ind w:left="3322" w:hanging="360"/>
      </w:pPr>
      <w:rPr>
        <w:rFonts w:hint="default"/>
      </w:rPr>
    </w:lvl>
    <w:lvl w:ilvl="4" w:tplc="2708BCD8">
      <w:start w:val="1"/>
      <w:numFmt w:val="bullet"/>
      <w:lvlText w:val="•"/>
      <w:lvlJc w:val="left"/>
      <w:pPr>
        <w:ind w:left="4213" w:hanging="360"/>
      </w:pPr>
      <w:rPr>
        <w:rFonts w:hint="default"/>
      </w:rPr>
    </w:lvl>
    <w:lvl w:ilvl="5" w:tplc="2BCA423E">
      <w:start w:val="1"/>
      <w:numFmt w:val="bullet"/>
      <w:lvlText w:val="•"/>
      <w:lvlJc w:val="left"/>
      <w:pPr>
        <w:ind w:left="5104" w:hanging="360"/>
      </w:pPr>
      <w:rPr>
        <w:rFonts w:hint="default"/>
      </w:rPr>
    </w:lvl>
    <w:lvl w:ilvl="6" w:tplc="945C3BDE">
      <w:start w:val="1"/>
      <w:numFmt w:val="bullet"/>
      <w:lvlText w:val="•"/>
      <w:lvlJc w:val="left"/>
      <w:pPr>
        <w:ind w:left="5995" w:hanging="360"/>
      </w:pPr>
      <w:rPr>
        <w:rFonts w:hint="default"/>
      </w:rPr>
    </w:lvl>
    <w:lvl w:ilvl="7" w:tplc="21869498">
      <w:start w:val="1"/>
      <w:numFmt w:val="bullet"/>
      <w:lvlText w:val="•"/>
      <w:lvlJc w:val="left"/>
      <w:pPr>
        <w:ind w:left="6886" w:hanging="360"/>
      </w:pPr>
      <w:rPr>
        <w:rFonts w:hint="default"/>
      </w:rPr>
    </w:lvl>
    <w:lvl w:ilvl="8" w:tplc="0E5E8A0A">
      <w:start w:val="1"/>
      <w:numFmt w:val="bullet"/>
      <w:lvlText w:val="•"/>
      <w:lvlJc w:val="left"/>
      <w:pPr>
        <w:ind w:left="7777" w:hanging="360"/>
      </w:pPr>
      <w:rPr>
        <w:rFonts w:hint="default"/>
      </w:rPr>
    </w:lvl>
  </w:abstractNum>
  <w:abstractNum w:abstractNumId="15" w15:restartNumberingAfterBreak="0">
    <w:nsid w:val="7AB30527"/>
    <w:multiLevelType w:val="hybridMultilevel"/>
    <w:tmpl w:val="BF3E2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B2224F7"/>
    <w:multiLevelType w:val="hybridMultilevel"/>
    <w:tmpl w:val="BDC25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E11B38"/>
    <w:multiLevelType w:val="hybridMultilevel"/>
    <w:tmpl w:val="D0086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2"/>
  </w:num>
  <w:num w:numId="4">
    <w:abstractNumId w:val="7"/>
  </w:num>
  <w:num w:numId="5">
    <w:abstractNumId w:val="8"/>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9"/>
  </w:num>
  <w:num w:numId="10">
    <w:abstractNumId w:val="1"/>
  </w:num>
  <w:num w:numId="11">
    <w:abstractNumId w:val="5"/>
  </w:num>
  <w:num w:numId="12">
    <w:abstractNumId w:val="4"/>
  </w:num>
  <w:num w:numId="13">
    <w:abstractNumId w:val="11"/>
  </w:num>
  <w:num w:numId="14">
    <w:abstractNumId w:val="17"/>
  </w:num>
  <w:num w:numId="15">
    <w:abstractNumId w:val="0"/>
  </w:num>
  <w:num w:numId="16">
    <w:abstractNumId w:val="13"/>
  </w:num>
  <w:num w:numId="17">
    <w:abstractNumId w:val="16"/>
  </w:num>
  <w:num w:numId="18">
    <w:abstractNumId w:val="1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DA8"/>
    <w:rsid w:val="00002F29"/>
    <w:rsid w:val="000112BB"/>
    <w:rsid w:val="000114D9"/>
    <w:rsid w:val="00014A72"/>
    <w:rsid w:val="000157E6"/>
    <w:rsid w:val="000258C6"/>
    <w:rsid w:val="000358D1"/>
    <w:rsid w:val="00040F8D"/>
    <w:rsid w:val="00045F2C"/>
    <w:rsid w:val="0004696A"/>
    <w:rsid w:val="00064028"/>
    <w:rsid w:val="00077E43"/>
    <w:rsid w:val="00081BF3"/>
    <w:rsid w:val="00093878"/>
    <w:rsid w:val="000939E2"/>
    <w:rsid w:val="00093D49"/>
    <w:rsid w:val="00094F7A"/>
    <w:rsid w:val="000B37E0"/>
    <w:rsid w:val="000B7A31"/>
    <w:rsid w:val="000B7A86"/>
    <w:rsid w:val="000D68B7"/>
    <w:rsid w:val="000F7472"/>
    <w:rsid w:val="00100410"/>
    <w:rsid w:val="00100926"/>
    <w:rsid w:val="00101C26"/>
    <w:rsid w:val="00103720"/>
    <w:rsid w:val="00113E35"/>
    <w:rsid w:val="00114030"/>
    <w:rsid w:val="00131EBF"/>
    <w:rsid w:val="001323F5"/>
    <w:rsid w:val="00142823"/>
    <w:rsid w:val="0016060A"/>
    <w:rsid w:val="001722C8"/>
    <w:rsid w:val="00177838"/>
    <w:rsid w:val="0018450F"/>
    <w:rsid w:val="00196A15"/>
    <w:rsid w:val="001A11BB"/>
    <w:rsid w:val="001A1397"/>
    <w:rsid w:val="001B3B6A"/>
    <w:rsid w:val="001C1623"/>
    <w:rsid w:val="001C23CC"/>
    <w:rsid w:val="001E3F7A"/>
    <w:rsid w:val="001E4AD3"/>
    <w:rsid w:val="002015C3"/>
    <w:rsid w:val="00241B22"/>
    <w:rsid w:val="0025328A"/>
    <w:rsid w:val="002A791B"/>
    <w:rsid w:val="002D273E"/>
    <w:rsid w:val="002E29C2"/>
    <w:rsid w:val="002F040E"/>
    <w:rsid w:val="002F5CA4"/>
    <w:rsid w:val="002F7EE4"/>
    <w:rsid w:val="00321542"/>
    <w:rsid w:val="00327D81"/>
    <w:rsid w:val="00342A1F"/>
    <w:rsid w:val="00352BE6"/>
    <w:rsid w:val="003A32D5"/>
    <w:rsid w:val="003A543B"/>
    <w:rsid w:val="003A77A4"/>
    <w:rsid w:val="003B5C7F"/>
    <w:rsid w:val="003C2833"/>
    <w:rsid w:val="003C7303"/>
    <w:rsid w:val="003D0B82"/>
    <w:rsid w:val="003D2477"/>
    <w:rsid w:val="003D6174"/>
    <w:rsid w:val="003F6B19"/>
    <w:rsid w:val="00417771"/>
    <w:rsid w:val="0045207E"/>
    <w:rsid w:val="00463BF6"/>
    <w:rsid w:val="00470DB9"/>
    <w:rsid w:val="004758FE"/>
    <w:rsid w:val="00482C59"/>
    <w:rsid w:val="004A4DC2"/>
    <w:rsid w:val="004A5D32"/>
    <w:rsid w:val="004B0F5E"/>
    <w:rsid w:val="004C1342"/>
    <w:rsid w:val="004C5DB1"/>
    <w:rsid w:val="004C690F"/>
    <w:rsid w:val="004C7F04"/>
    <w:rsid w:val="004D576E"/>
    <w:rsid w:val="00502083"/>
    <w:rsid w:val="00506A1B"/>
    <w:rsid w:val="005111CB"/>
    <w:rsid w:val="005267F0"/>
    <w:rsid w:val="0053195F"/>
    <w:rsid w:val="005547F5"/>
    <w:rsid w:val="0057182B"/>
    <w:rsid w:val="00571A24"/>
    <w:rsid w:val="00574179"/>
    <w:rsid w:val="00575999"/>
    <w:rsid w:val="005A0A20"/>
    <w:rsid w:val="005A2847"/>
    <w:rsid w:val="005A384C"/>
    <w:rsid w:val="005B2A1B"/>
    <w:rsid w:val="005C23A7"/>
    <w:rsid w:val="005C4303"/>
    <w:rsid w:val="005D3F22"/>
    <w:rsid w:val="005F1AD3"/>
    <w:rsid w:val="00601935"/>
    <w:rsid w:val="006046DA"/>
    <w:rsid w:val="0060699D"/>
    <w:rsid w:val="006115BE"/>
    <w:rsid w:val="006227E2"/>
    <w:rsid w:val="006244E2"/>
    <w:rsid w:val="006277C8"/>
    <w:rsid w:val="00642139"/>
    <w:rsid w:val="00643EC8"/>
    <w:rsid w:val="00660DFC"/>
    <w:rsid w:val="00672595"/>
    <w:rsid w:val="00691ECB"/>
    <w:rsid w:val="006A6BB3"/>
    <w:rsid w:val="006B579B"/>
    <w:rsid w:val="006C5AA7"/>
    <w:rsid w:val="006C692A"/>
    <w:rsid w:val="006D6CD3"/>
    <w:rsid w:val="00701B10"/>
    <w:rsid w:val="00707948"/>
    <w:rsid w:val="00716FEF"/>
    <w:rsid w:val="00723C99"/>
    <w:rsid w:val="00725CA0"/>
    <w:rsid w:val="00725DE1"/>
    <w:rsid w:val="00732870"/>
    <w:rsid w:val="00741ED8"/>
    <w:rsid w:val="00743B99"/>
    <w:rsid w:val="00750E5B"/>
    <w:rsid w:val="00756C00"/>
    <w:rsid w:val="00772AC0"/>
    <w:rsid w:val="00777602"/>
    <w:rsid w:val="00791B36"/>
    <w:rsid w:val="00792BA4"/>
    <w:rsid w:val="007B38FA"/>
    <w:rsid w:val="007B3DA2"/>
    <w:rsid w:val="007B5370"/>
    <w:rsid w:val="007D1BF5"/>
    <w:rsid w:val="007D638D"/>
    <w:rsid w:val="007E0B0C"/>
    <w:rsid w:val="007E29C0"/>
    <w:rsid w:val="007E2F06"/>
    <w:rsid w:val="007F5C16"/>
    <w:rsid w:val="007F6FC7"/>
    <w:rsid w:val="007F776B"/>
    <w:rsid w:val="008011B0"/>
    <w:rsid w:val="00804ADD"/>
    <w:rsid w:val="0080639D"/>
    <w:rsid w:val="00820DC7"/>
    <w:rsid w:val="0083608C"/>
    <w:rsid w:val="008516FA"/>
    <w:rsid w:val="0085491D"/>
    <w:rsid w:val="00871AF1"/>
    <w:rsid w:val="008835DB"/>
    <w:rsid w:val="008B1A55"/>
    <w:rsid w:val="008B6439"/>
    <w:rsid w:val="008B6B1B"/>
    <w:rsid w:val="008B6BF9"/>
    <w:rsid w:val="008C7BB3"/>
    <w:rsid w:val="008D0747"/>
    <w:rsid w:val="008D152B"/>
    <w:rsid w:val="008E2898"/>
    <w:rsid w:val="00915C6B"/>
    <w:rsid w:val="00923040"/>
    <w:rsid w:val="00930871"/>
    <w:rsid w:val="00934BB7"/>
    <w:rsid w:val="00937749"/>
    <w:rsid w:val="00960097"/>
    <w:rsid w:val="009620A1"/>
    <w:rsid w:val="009669B1"/>
    <w:rsid w:val="00973AD6"/>
    <w:rsid w:val="00980DC6"/>
    <w:rsid w:val="0098243E"/>
    <w:rsid w:val="009B1C95"/>
    <w:rsid w:val="009B501E"/>
    <w:rsid w:val="009C2D06"/>
    <w:rsid w:val="009C6833"/>
    <w:rsid w:val="009D783C"/>
    <w:rsid w:val="009E3774"/>
    <w:rsid w:val="009E44D3"/>
    <w:rsid w:val="009F1270"/>
    <w:rsid w:val="009F1A68"/>
    <w:rsid w:val="009F1A6D"/>
    <w:rsid w:val="009F3B43"/>
    <w:rsid w:val="009F7C62"/>
    <w:rsid w:val="00A00B23"/>
    <w:rsid w:val="00A10A9D"/>
    <w:rsid w:val="00A26840"/>
    <w:rsid w:val="00A45407"/>
    <w:rsid w:val="00A459FD"/>
    <w:rsid w:val="00A7493A"/>
    <w:rsid w:val="00A758AA"/>
    <w:rsid w:val="00A77E24"/>
    <w:rsid w:val="00AB00B2"/>
    <w:rsid w:val="00AB0265"/>
    <w:rsid w:val="00AB1B43"/>
    <w:rsid w:val="00AB5801"/>
    <w:rsid w:val="00AC0090"/>
    <w:rsid w:val="00AF26B4"/>
    <w:rsid w:val="00B3001D"/>
    <w:rsid w:val="00B36FE8"/>
    <w:rsid w:val="00B43228"/>
    <w:rsid w:val="00B44B53"/>
    <w:rsid w:val="00B457B7"/>
    <w:rsid w:val="00B5560B"/>
    <w:rsid w:val="00B643D6"/>
    <w:rsid w:val="00B66F89"/>
    <w:rsid w:val="00B72D75"/>
    <w:rsid w:val="00B833EB"/>
    <w:rsid w:val="00B95DA8"/>
    <w:rsid w:val="00BA2F89"/>
    <w:rsid w:val="00BA6E97"/>
    <w:rsid w:val="00BB0A3F"/>
    <w:rsid w:val="00BB6770"/>
    <w:rsid w:val="00BC6D2E"/>
    <w:rsid w:val="00BF3DDF"/>
    <w:rsid w:val="00BF5906"/>
    <w:rsid w:val="00C026E4"/>
    <w:rsid w:val="00C03BEA"/>
    <w:rsid w:val="00C05E4E"/>
    <w:rsid w:val="00C25EF7"/>
    <w:rsid w:val="00C35711"/>
    <w:rsid w:val="00C5737D"/>
    <w:rsid w:val="00C60C26"/>
    <w:rsid w:val="00C639B8"/>
    <w:rsid w:val="00C63D26"/>
    <w:rsid w:val="00CC6062"/>
    <w:rsid w:val="00CC6A19"/>
    <w:rsid w:val="00CD0989"/>
    <w:rsid w:val="00CD68EA"/>
    <w:rsid w:val="00CE022F"/>
    <w:rsid w:val="00CE4B15"/>
    <w:rsid w:val="00CE736B"/>
    <w:rsid w:val="00CF0B67"/>
    <w:rsid w:val="00CF23C1"/>
    <w:rsid w:val="00CF5D51"/>
    <w:rsid w:val="00CF7B31"/>
    <w:rsid w:val="00D1008E"/>
    <w:rsid w:val="00D14397"/>
    <w:rsid w:val="00D36606"/>
    <w:rsid w:val="00D42B71"/>
    <w:rsid w:val="00D449A7"/>
    <w:rsid w:val="00D465AA"/>
    <w:rsid w:val="00D5243E"/>
    <w:rsid w:val="00D601D1"/>
    <w:rsid w:val="00D61A31"/>
    <w:rsid w:val="00D80843"/>
    <w:rsid w:val="00D81340"/>
    <w:rsid w:val="00D87BBD"/>
    <w:rsid w:val="00D97A5A"/>
    <w:rsid w:val="00DB0975"/>
    <w:rsid w:val="00DB54DC"/>
    <w:rsid w:val="00DB66AF"/>
    <w:rsid w:val="00DB7FE4"/>
    <w:rsid w:val="00DC0218"/>
    <w:rsid w:val="00DD6B5A"/>
    <w:rsid w:val="00DE01D1"/>
    <w:rsid w:val="00DF2D3C"/>
    <w:rsid w:val="00DF4EEE"/>
    <w:rsid w:val="00E077E7"/>
    <w:rsid w:val="00E24F7C"/>
    <w:rsid w:val="00E419AC"/>
    <w:rsid w:val="00E464F3"/>
    <w:rsid w:val="00E57D4D"/>
    <w:rsid w:val="00E725F3"/>
    <w:rsid w:val="00E7389E"/>
    <w:rsid w:val="00E8112C"/>
    <w:rsid w:val="00E837E3"/>
    <w:rsid w:val="00E92624"/>
    <w:rsid w:val="00E94B22"/>
    <w:rsid w:val="00E97E81"/>
    <w:rsid w:val="00EC6DD7"/>
    <w:rsid w:val="00EE20AA"/>
    <w:rsid w:val="00EE3CD9"/>
    <w:rsid w:val="00EF3CA9"/>
    <w:rsid w:val="00EF5DB6"/>
    <w:rsid w:val="00EF61A3"/>
    <w:rsid w:val="00F0421F"/>
    <w:rsid w:val="00F06CE1"/>
    <w:rsid w:val="00F16152"/>
    <w:rsid w:val="00F21183"/>
    <w:rsid w:val="00F25D8B"/>
    <w:rsid w:val="00F3099A"/>
    <w:rsid w:val="00F379DD"/>
    <w:rsid w:val="00F4123C"/>
    <w:rsid w:val="00F42700"/>
    <w:rsid w:val="00F4474C"/>
    <w:rsid w:val="00F45936"/>
    <w:rsid w:val="00F54865"/>
    <w:rsid w:val="00F7095E"/>
    <w:rsid w:val="00F72C57"/>
    <w:rsid w:val="00F748CE"/>
    <w:rsid w:val="00F80605"/>
    <w:rsid w:val="00F81BE7"/>
    <w:rsid w:val="00FA115B"/>
    <w:rsid w:val="00FA16B7"/>
    <w:rsid w:val="00FA2C9D"/>
    <w:rsid w:val="00FB2C7E"/>
    <w:rsid w:val="00FB376D"/>
    <w:rsid w:val="00FB4BA1"/>
    <w:rsid w:val="00FD22C3"/>
    <w:rsid w:val="00FD3DB6"/>
    <w:rsid w:val="00FE43A8"/>
    <w:rsid w:val="00FF6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E6B30A4-C456-4FEC-902D-1E63C0180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5407"/>
    <w:pPr>
      <w:tabs>
        <w:tab w:val="center" w:pos="4680"/>
        <w:tab w:val="right" w:pos="9360"/>
      </w:tabs>
    </w:pPr>
  </w:style>
  <w:style w:type="character" w:customStyle="1" w:styleId="HeaderChar">
    <w:name w:val="Header Char"/>
    <w:basedOn w:val="DefaultParagraphFont"/>
    <w:link w:val="Header"/>
    <w:uiPriority w:val="99"/>
    <w:rsid w:val="00A45407"/>
  </w:style>
  <w:style w:type="paragraph" w:styleId="Footer">
    <w:name w:val="footer"/>
    <w:basedOn w:val="Normal"/>
    <w:link w:val="FooterChar"/>
    <w:uiPriority w:val="99"/>
    <w:unhideWhenUsed/>
    <w:rsid w:val="00A45407"/>
    <w:pPr>
      <w:tabs>
        <w:tab w:val="center" w:pos="4680"/>
        <w:tab w:val="right" w:pos="9360"/>
      </w:tabs>
    </w:pPr>
  </w:style>
  <w:style w:type="character" w:customStyle="1" w:styleId="FooterChar">
    <w:name w:val="Footer Char"/>
    <w:basedOn w:val="DefaultParagraphFont"/>
    <w:link w:val="Footer"/>
    <w:uiPriority w:val="99"/>
    <w:rsid w:val="00A45407"/>
  </w:style>
  <w:style w:type="character" w:styleId="Hyperlink">
    <w:name w:val="Hyperlink"/>
    <w:rsid w:val="00AB0265"/>
    <w:rPr>
      <w:color w:val="0000FF"/>
      <w:u w:val="single"/>
    </w:rPr>
  </w:style>
  <w:style w:type="paragraph" w:styleId="BodyText">
    <w:name w:val="Body Text"/>
    <w:basedOn w:val="Normal"/>
    <w:link w:val="BodyTextChar"/>
    <w:uiPriority w:val="1"/>
    <w:qFormat/>
    <w:rsid w:val="00AB0265"/>
    <w:pPr>
      <w:widowControl w:val="0"/>
    </w:pPr>
    <w:rPr>
      <w:rFonts w:ascii="Calibri" w:eastAsia="Calibri" w:hAnsi="Calibri" w:cs="Calibri"/>
      <w:sz w:val="22"/>
      <w:szCs w:val="22"/>
    </w:rPr>
  </w:style>
  <w:style w:type="character" w:customStyle="1" w:styleId="BodyTextChar">
    <w:name w:val="Body Text Char"/>
    <w:basedOn w:val="DefaultParagraphFont"/>
    <w:link w:val="BodyText"/>
    <w:uiPriority w:val="1"/>
    <w:rsid w:val="00AB0265"/>
    <w:rPr>
      <w:rFonts w:ascii="Calibri" w:eastAsia="Calibri" w:hAnsi="Calibri" w:cs="Calibri"/>
      <w:sz w:val="22"/>
      <w:szCs w:val="22"/>
    </w:rPr>
  </w:style>
  <w:style w:type="paragraph" w:styleId="ListParagraph">
    <w:name w:val="List Paragraph"/>
    <w:basedOn w:val="Normal"/>
    <w:uiPriority w:val="34"/>
    <w:qFormat/>
    <w:rsid w:val="00342A1F"/>
    <w:pPr>
      <w:ind w:left="720"/>
      <w:contextualSpacing/>
    </w:pPr>
    <w:rPr>
      <w:rFonts w:ascii="Calibri" w:eastAsia="Calibri" w:hAnsi="Calibri" w:cs="Times New Roman"/>
      <w:sz w:val="22"/>
      <w:szCs w:val="22"/>
    </w:rPr>
  </w:style>
  <w:style w:type="paragraph" w:customStyle="1" w:styleId="Default">
    <w:name w:val="Default"/>
    <w:rsid w:val="00342A1F"/>
    <w:pPr>
      <w:autoSpaceDE w:val="0"/>
      <w:autoSpaceDN w:val="0"/>
      <w:adjustRightInd w:val="0"/>
    </w:pPr>
    <w:rPr>
      <w:rFonts w:ascii="Times New Roman" w:eastAsia="Times New Roman" w:hAnsi="Times New Roman" w:cs="Times New Roman"/>
      <w:color w:val="000000"/>
      <w:sz w:val="24"/>
    </w:rPr>
  </w:style>
  <w:style w:type="character" w:styleId="Strong">
    <w:name w:val="Strong"/>
    <w:basedOn w:val="DefaultParagraphFont"/>
    <w:uiPriority w:val="22"/>
    <w:qFormat/>
    <w:rsid w:val="00342A1F"/>
    <w:rPr>
      <w:b/>
      <w:bCs/>
    </w:rPr>
  </w:style>
  <w:style w:type="paragraph" w:styleId="NormalWeb">
    <w:name w:val="Normal (Web)"/>
    <w:basedOn w:val="Normal"/>
    <w:uiPriority w:val="99"/>
    <w:unhideWhenUsed/>
    <w:rsid w:val="00342A1F"/>
    <w:pPr>
      <w:spacing w:before="100" w:beforeAutospacing="1" w:after="100" w:afterAutospacing="1"/>
    </w:pPr>
    <w:rPr>
      <w:rFonts w:ascii="Times New Roman" w:eastAsia="Times New Roman" w:hAnsi="Times New Roman" w:cs="Times New Roman"/>
      <w:sz w:val="24"/>
    </w:rPr>
  </w:style>
  <w:style w:type="paragraph" w:styleId="BalloonText">
    <w:name w:val="Balloon Text"/>
    <w:basedOn w:val="Normal"/>
    <w:link w:val="BalloonTextChar"/>
    <w:uiPriority w:val="99"/>
    <w:semiHidden/>
    <w:unhideWhenUsed/>
    <w:rsid w:val="004520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207E"/>
    <w:rPr>
      <w:rFonts w:ascii="Segoe UI" w:hAnsi="Segoe UI" w:cs="Segoe UI"/>
      <w:sz w:val="18"/>
      <w:szCs w:val="18"/>
    </w:rPr>
  </w:style>
  <w:style w:type="paragraph" w:styleId="PlainText">
    <w:name w:val="Plain Text"/>
    <w:basedOn w:val="Normal"/>
    <w:link w:val="PlainTextChar"/>
    <w:uiPriority w:val="99"/>
    <w:semiHidden/>
    <w:unhideWhenUsed/>
    <w:rsid w:val="001E3F7A"/>
    <w:rPr>
      <w:szCs w:val="20"/>
    </w:rPr>
  </w:style>
  <w:style w:type="character" w:customStyle="1" w:styleId="PlainTextChar">
    <w:name w:val="Plain Text Char"/>
    <w:basedOn w:val="DefaultParagraphFont"/>
    <w:link w:val="PlainText"/>
    <w:uiPriority w:val="99"/>
    <w:semiHidden/>
    <w:rsid w:val="001E3F7A"/>
    <w:rPr>
      <w:szCs w:val="20"/>
    </w:rPr>
  </w:style>
  <w:style w:type="character" w:styleId="CommentReference">
    <w:name w:val="annotation reference"/>
    <w:basedOn w:val="DefaultParagraphFont"/>
    <w:uiPriority w:val="99"/>
    <w:semiHidden/>
    <w:unhideWhenUsed/>
    <w:rsid w:val="00100410"/>
    <w:rPr>
      <w:sz w:val="16"/>
      <w:szCs w:val="16"/>
    </w:rPr>
  </w:style>
  <w:style w:type="paragraph" w:styleId="CommentText">
    <w:name w:val="annotation text"/>
    <w:basedOn w:val="Normal"/>
    <w:link w:val="CommentTextChar"/>
    <w:uiPriority w:val="99"/>
    <w:semiHidden/>
    <w:unhideWhenUsed/>
    <w:rsid w:val="00100410"/>
    <w:rPr>
      <w:szCs w:val="20"/>
    </w:rPr>
  </w:style>
  <w:style w:type="character" w:customStyle="1" w:styleId="CommentTextChar">
    <w:name w:val="Comment Text Char"/>
    <w:basedOn w:val="DefaultParagraphFont"/>
    <w:link w:val="CommentText"/>
    <w:uiPriority w:val="99"/>
    <w:semiHidden/>
    <w:rsid w:val="00100410"/>
    <w:rPr>
      <w:szCs w:val="20"/>
    </w:rPr>
  </w:style>
  <w:style w:type="paragraph" w:styleId="CommentSubject">
    <w:name w:val="annotation subject"/>
    <w:basedOn w:val="CommentText"/>
    <w:next w:val="CommentText"/>
    <w:link w:val="CommentSubjectChar"/>
    <w:uiPriority w:val="99"/>
    <w:semiHidden/>
    <w:unhideWhenUsed/>
    <w:rsid w:val="00100410"/>
    <w:rPr>
      <w:b/>
      <w:bCs/>
    </w:rPr>
  </w:style>
  <w:style w:type="character" w:customStyle="1" w:styleId="CommentSubjectChar">
    <w:name w:val="Comment Subject Char"/>
    <w:basedOn w:val="CommentTextChar"/>
    <w:link w:val="CommentSubject"/>
    <w:uiPriority w:val="99"/>
    <w:semiHidden/>
    <w:rsid w:val="00100410"/>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211313">
      <w:bodyDiv w:val="1"/>
      <w:marLeft w:val="0"/>
      <w:marRight w:val="0"/>
      <w:marTop w:val="0"/>
      <w:marBottom w:val="0"/>
      <w:divBdr>
        <w:top w:val="none" w:sz="0" w:space="0" w:color="auto"/>
        <w:left w:val="none" w:sz="0" w:space="0" w:color="auto"/>
        <w:bottom w:val="none" w:sz="0" w:space="0" w:color="auto"/>
        <w:right w:val="none" w:sz="0" w:space="0" w:color="auto"/>
      </w:divBdr>
    </w:div>
    <w:div w:id="507869021">
      <w:bodyDiv w:val="1"/>
      <w:marLeft w:val="0"/>
      <w:marRight w:val="0"/>
      <w:marTop w:val="0"/>
      <w:marBottom w:val="0"/>
      <w:divBdr>
        <w:top w:val="none" w:sz="0" w:space="0" w:color="auto"/>
        <w:left w:val="none" w:sz="0" w:space="0" w:color="auto"/>
        <w:bottom w:val="none" w:sz="0" w:space="0" w:color="auto"/>
        <w:right w:val="none" w:sz="0" w:space="0" w:color="auto"/>
      </w:divBdr>
    </w:div>
    <w:div w:id="715810931">
      <w:bodyDiv w:val="1"/>
      <w:marLeft w:val="0"/>
      <w:marRight w:val="0"/>
      <w:marTop w:val="0"/>
      <w:marBottom w:val="0"/>
      <w:divBdr>
        <w:top w:val="none" w:sz="0" w:space="0" w:color="auto"/>
        <w:left w:val="none" w:sz="0" w:space="0" w:color="auto"/>
        <w:bottom w:val="none" w:sz="0" w:space="0" w:color="auto"/>
        <w:right w:val="none" w:sz="0" w:space="0" w:color="auto"/>
      </w:divBdr>
    </w:div>
    <w:div w:id="967199352">
      <w:bodyDiv w:val="1"/>
      <w:marLeft w:val="0"/>
      <w:marRight w:val="0"/>
      <w:marTop w:val="0"/>
      <w:marBottom w:val="0"/>
      <w:divBdr>
        <w:top w:val="none" w:sz="0" w:space="0" w:color="auto"/>
        <w:left w:val="none" w:sz="0" w:space="0" w:color="auto"/>
        <w:bottom w:val="none" w:sz="0" w:space="0" w:color="auto"/>
        <w:right w:val="none" w:sz="0" w:space="0" w:color="auto"/>
      </w:divBdr>
    </w:div>
    <w:div w:id="999190513">
      <w:bodyDiv w:val="1"/>
      <w:marLeft w:val="0"/>
      <w:marRight w:val="0"/>
      <w:marTop w:val="0"/>
      <w:marBottom w:val="0"/>
      <w:divBdr>
        <w:top w:val="none" w:sz="0" w:space="0" w:color="auto"/>
        <w:left w:val="none" w:sz="0" w:space="0" w:color="auto"/>
        <w:bottom w:val="none" w:sz="0" w:space="0" w:color="auto"/>
        <w:right w:val="none" w:sz="0" w:space="0" w:color="auto"/>
      </w:divBdr>
    </w:div>
    <w:div w:id="1230845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LHC.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verifymicare.org"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mihin.org" TargetMode="External"/><Relationship Id="rId4" Type="http://schemas.openxmlformats.org/officeDocument/2006/relationships/webSettings" Target="webSettings.xml"/><Relationship Id="rId9" Type="http://schemas.openxmlformats.org/officeDocument/2006/relationships/hyperlink" Target="http://www.uphie.or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ood\Downloads\MHA_Letterhead_CAC%2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MHA_Letterhead_CAC (6)</Template>
  <TotalTime>1</TotalTime>
  <Pages>9</Pages>
  <Words>4768</Words>
  <Characters>27180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MHA</Company>
  <LinksUpToDate>false</LinksUpToDate>
  <CharactersWithSpaces>31885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Wood</dc:creator>
  <cp:keywords/>
  <dc:description/>
  <cp:lastModifiedBy>Linda Dicks</cp:lastModifiedBy>
  <cp:revision>2</cp:revision>
  <cp:lastPrinted>2018-06-08T13:34:00Z</cp:lastPrinted>
  <dcterms:created xsi:type="dcterms:W3CDTF">2018-06-15T15:18:00Z</dcterms:created>
  <dcterms:modified xsi:type="dcterms:W3CDTF">2018-06-15T15:18:00Z</dcterms:modified>
</cp:coreProperties>
</file>